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1"/>
        <w:tabs>
          <w:tab w:val="right" w:pos="9639"/>
          <w:tab w:val="right" w:pos="13323"/>
        </w:tabs>
        <w:spacing w:after="0"/>
        <w:rPr>
          <w:rFonts w:cs="Arial"/>
          <w:b/>
          <w:sz w:val="24"/>
          <w:szCs w:val="24"/>
        </w:rPr>
      </w:pPr>
      <w:r>
        <w:rPr>
          <w:rFonts w:cs="Arial"/>
          <w:b/>
          <w:bCs/>
          <w:sz w:val="24"/>
          <w:szCs w:val="24"/>
        </w:rPr>
        <w:t>3GPP TSG-RAN WG3 Meeting #119</w:t>
      </w:r>
      <w:r>
        <w:rPr>
          <w:rFonts w:cs="Arial"/>
          <w:b/>
          <w:sz w:val="24"/>
          <w:szCs w:val="24"/>
        </w:rPr>
        <w:tab/>
      </w:r>
      <w:r>
        <w:rPr>
          <w:rFonts w:hint="eastAsia"/>
          <w:b/>
          <w:i/>
          <w:sz w:val="28"/>
        </w:rPr>
        <w:t>R3-230700</w:t>
      </w:r>
      <w:bookmarkStart w:id="1" w:name="_GoBack"/>
      <w:bookmarkEnd w:id="1"/>
    </w:p>
    <w:p>
      <w:pPr>
        <w:pStyle w:val="51"/>
        <w:tabs>
          <w:tab w:val="right" w:pos="9639"/>
          <w:tab w:val="right" w:pos="13323"/>
        </w:tabs>
        <w:spacing w:after="0"/>
        <w:rPr>
          <w:rFonts w:cs="Arial"/>
          <w:b/>
          <w:sz w:val="24"/>
          <w:szCs w:val="24"/>
        </w:rPr>
      </w:pPr>
      <w:r>
        <w:rPr>
          <w:b/>
          <w:sz w:val="24"/>
        </w:rPr>
        <w:t>Athens, GR, 27 Feb – 03 Mar, 2023</w:t>
      </w:r>
    </w:p>
    <w:p>
      <w:pPr>
        <w:pStyle w:val="15"/>
        <w:jc w:val="both"/>
        <w:rPr>
          <w:rFonts w:eastAsia="宋体"/>
          <w:b w:val="0"/>
          <w:i w:val="0"/>
          <w:sz w:val="24"/>
        </w:rPr>
      </w:pPr>
    </w:p>
    <w:p>
      <w:pPr>
        <w:tabs>
          <w:tab w:val="left" w:pos="1985"/>
        </w:tabs>
        <w:ind w:left="1980" w:hanging="1980"/>
        <w:rPr>
          <w:rStyle w:val="78"/>
        </w:rPr>
      </w:pPr>
      <w:r>
        <w:rPr>
          <w:b/>
          <w:sz w:val="24"/>
        </w:rPr>
        <w:t>Title:</w:t>
      </w:r>
      <w:r>
        <w:rPr>
          <w:sz w:val="24"/>
        </w:rPr>
        <w:t xml:space="preserve"> </w:t>
      </w:r>
      <w:r>
        <w:rPr>
          <w:sz w:val="24"/>
        </w:rPr>
        <w:tab/>
      </w:r>
      <w:r>
        <w:rPr>
          <w:rFonts w:hint="eastAsia"/>
          <w:sz w:val="24"/>
        </w:rPr>
        <w:t>Further discussion on R17 leftover issues</w:t>
      </w:r>
    </w:p>
    <w:p>
      <w:pPr>
        <w:tabs>
          <w:tab w:val="left" w:pos="1985"/>
        </w:tabs>
        <w:rPr>
          <w:rStyle w:val="78"/>
          <w:lang w:val="en-GB"/>
        </w:rPr>
      </w:pPr>
      <w:r>
        <w:rPr>
          <w:b/>
          <w:sz w:val="24"/>
        </w:rPr>
        <w:t xml:space="preserve">Source: </w:t>
      </w:r>
      <w:r>
        <w:rPr>
          <w:b/>
          <w:sz w:val="24"/>
        </w:rPr>
        <w:tab/>
      </w:r>
      <w:r>
        <w:rPr>
          <w:rFonts w:hint="eastAsia"/>
          <w:bCs/>
          <w:sz w:val="24"/>
        </w:rPr>
        <w:t>China Unicom</w:t>
      </w:r>
    </w:p>
    <w:p>
      <w:pPr>
        <w:tabs>
          <w:tab w:val="left" w:pos="1985"/>
        </w:tabs>
        <w:rPr>
          <w:rStyle w:val="78"/>
        </w:rPr>
      </w:pPr>
      <w:r>
        <w:rPr>
          <w:b/>
          <w:sz w:val="24"/>
        </w:rPr>
        <w:t>Agenda item:</w:t>
      </w:r>
      <w:r>
        <w:rPr>
          <w:sz w:val="24"/>
        </w:rPr>
        <w:tab/>
      </w:r>
      <w:r>
        <w:rPr>
          <w:rFonts w:hint="eastAsia"/>
          <w:sz w:val="24"/>
          <w:lang w:val="en-US"/>
        </w:rPr>
        <w:t>11</w:t>
      </w:r>
      <w:r>
        <w:rPr>
          <w:sz w:val="24"/>
        </w:rPr>
        <w:t>.</w:t>
      </w:r>
      <w:r>
        <w:rPr>
          <w:rFonts w:hint="eastAsia"/>
          <w:sz w:val="24"/>
          <w:lang w:val="en-US"/>
        </w:rPr>
        <w:t>4</w:t>
      </w:r>
    </w:p>
    <w:p>
      <w:pPr>
        <w:tabs>
          <w:tab w:val="left" w:pos="1985"/>
        </w:tabs>
        <w:ind w:left="1980" w:hanging="1980"/>
        <w:rPr>
          <w:rStyle w:val="78"/>
          <w:lang w:val="en-GB"/>
        </w:rPr>
      </w:pPr>
      <w:r>
        <w:rPr>
          <w:b/>
          <w:sz w:val="24"/>
        </w:rPr>
        <w:t>Document Type:</w:t>
      </w:r>
      <w:r>
        <w:rPr>
          <w:sz w:val="24"/>
        </w:rPr>
        <w:tab/>
      </w:r>
      <w:r>
        <w:rPr>
          <w:rFonts w:hint="eastAsia"/>
          <w:sz w:val="24"/>
        </w:rPr>
        <w:t>D</w:t>
      </w:r>
      <w:r>
        <w:rPr>
          <w:sz w:val="24"/>
        </w:rPr>
        <w:t>iscussion</w:t>
      </w:r>
    </w:p>
    <w:p>
      <w:pPr>
        <w:pStyle w:val="2"/>
        <w:rPr>
          <w:rFonts w:eastAsia="宋体"/>
        </w:rPr>
      </w:pPr>
      <w:r>
        <w:rPr>
          <w:rFonts w:eastAsia="宋体"/>
        </w:rPr>
        <w:t>Introduction</w:t>
      </w:r>
    </w:p>
    <w:p>
      <w:pPr>
        <w:pStyle w:val="43"/>
        <w:rPr>
          <w:rFonts w:ascii="Times New Roman" w:hAnsi="Times New Roman"/>
          <w:sz w:val="21"/>
          <w:szCs w:val="21"/>
          <w:lang w:val="en-GB"/>
        </w:rPr>
      </w:pPr>
      <w:r>
        <w:rPr>
          <w:rStyle w:val="44"/>
          <w:rFonts w:ascii="Times New Roman" w:hAnsi="Times New Roman" w:eastAsia="宋体"/>
          <w:sz w:val="21"/>
          <w:szCs w:val="21"/>
          <w:lang w:eastAsia="zh-CN"/>
        </w:rPr>
        <w:t>In RAN#96</w:t>
      </w:r>
      <w:r>
        <w:rPr>
          <w:rStyle w:val="44"/>
          <w:rFonts w:ascii="Times New Roman" w:hAnsi="Times New Roman"/>
          <w:sz w:val="21"/>
          <w:szCs w:val="21"/>
          <w:lang w:val="en-GB"/>
        </w:rPr>
        <w:t xml:space="preserve"> meeting, </w:t>
      </w:r>
      <w:r>
        <w:rPr>
          <w:rStyle w:val="44"/>
          <w:rFonts w:ascii="Times New Roman" w:hAnsi="Times New Roman" w:eastAsia="宋体"/>
          <w:sz w:val="21"/>
          <w:szCs w:val="21"/>
          <w:lang w:eastAsia="zh-CN"/>
        </w:rPr>
        <w:t xml:space="preserve">the WID of the R18 NR QoE enhancement </w:t>
      </w:r>
      <w:r>
        <w:rPr>
          <w:rStyle w:val="44"/>
          <w:rFonts w:ascii="Times New Roman" w:hAnsi="Times New Roman"/>
          <w:sz w:val="21"/>
          <w:szCs w:val="21"/>
          <w:lang w:val="en-GB"/>
        </w:rPr>
        <w:t>have been discussed</w:t>
      </w:r>
      <w:r>
        <w:rPr>
          <w:rStyle w:val="44"/>
          <w:rFonts w:ascii="Times New Roman" w:hAnsi="Times New Roman" w:eastAsia="宋体"/>
          <w:sz w:val="21"/>
          <w:szCs w:val="21"/>
          <w:lang w:eastAsia="zh-CN"/>
        </w:rPr>
        <w:t>, and it is approved to further discuss the  following R17 leftover issues in R18</w:t>
      </w:r>
      <w:r>
        <w:rPr>
          <w:rStyle w:val="44"/>
          <w:rFonts w:ascii="Times New Roman" w:hAnsi="Times New Roman"/>
          <w:sz w:val="21"/>
          <w:szCs w:val="21"/>
          <w:lang w:val="en-GB"/>
        </w:rPr>
        <w:t>:</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numPr>
                <w:ilvl w:val="0"/>
                <w:numId w:val="5"/>
              </w:numPr>
              <w:spacing w:before="120" w:beforeLines="50" w:after="0"/>
              <w:rPr>
                <w:rFonts w:ascii="Times New Roman" w:hAnsi="Times New Roman"/>
                <w:bCs/>
                <w:sz w:val="21"/>
                <w:szCs w:val="21"/>
                <w:lang w:val="en-US"/>
              </w:rPr>
            </w:pPr>
            <w:r>
              <w:rPr>
                <w:rFonts w:ascii="Times New Roman" w:hAnsi="Times New Roman"/>
                <w:sz w:val="21"/>
                <w:szCs w:val="21"/>
              </w:rPr>
              <w:t>Left-over features</w:t>
            </w:r>
            <w:r>
              <w:rPr>
                <w:rFonts w:ascii="Times New Roman" w:hAnsi="Times New Roman"/>
                <w:sz w:val="21"/>
                <w:szCs w:val="21"/>
                <w:lang w:val="en-US"/>
              </w:rPr>
              <w:t xml:space="preserve"> from Rel-17, as well as the enhancements of existing features which are not included in Rel-17 normative phase, should be supported in Rel-18 if consensus on benefits are reached </w:t>
            </w:r>
            <w:r>
              <w:rPr>
                <w:rFonts w:ascii="Times New Roman" w:hAnsi="Times New Roman"/>
                <w:sz w:val="21"/>
                <w:szCs w:val="21"/>
              </w:rPr>
              <w:t>[</w:t>
            </w:r>
            <w:r>
              <w:rPr>
                <w:rFonts w:ascii="Times New Roman" w:hAnsi="Times New Roman"/>
                <w:sz w:val="21"/>
                <w:szCs w:val="21"/>
                <w:lang w:val="en-US"/>
              </w:rPr>
              <w:t>RAN3</w:t>
            </w:r>
            <w:r>
              <w:rPr>
                <w:rFonts w:ascii="Times New Roman" w:hAnsi="Times New Roman"/>
                <w:sz w:val="21"/>
                <w:szCs w:val="21"/>
              </w:rPr>
              <w:t>, RAN2].</w:t>
            </w:r>
          </w:p>
          <w:p>
            <w:pPr>
              <w:numPr>
                <w:ilvl w:val="0"/>
                <w:numId w:val="6"/>
              </w:numPr>
              <w:spacing w:after="0"/>
              <w:rPr>
                <w:rFonts w:ascii="Times New Roman" w:hAnsi="Times New Roman"/>
                <w:bCs/>
                <w:sz w:val="21"/>
                <w:szCs w:val="21"/>
                <w:lang w:val="en-US"/>
              </w:rPr>
            </w:pPr>
            <w:r>
              <w:rPr>
                <w:rFonts w:ascii="Times New Roman" w:hAnsi="Times New Roman"/>
                <w:bCs/>
                <w:sz w:val="21"/>
                <w:szCs w:val="21"/>
                <w:lang w:val="en-US"/>
              </w:rPr>
              <w:t>Specify per-slice QoE measurement configuration enhancement.</w:t>
            </w:r>
          </w:p>
          <w:p>
            <w:pPr>
              <w:numPr>
                <w:ilvl w:val="0"/>
                <w:numId w:val="6"/>
              </w:numPr>
              <w:spacing w:after="0"/>
              <w:rPr>
                <w:rFonts w:ascii="Times New Roman" w:hAnsi="Times New Roman"/>
                <w:bCs/>
                <w:sz w:val="21"/>
                <w:szCs w:val="21"/>
                <w:lang w:val="en-US"/>
              </w:rPr>
            </w:pPr>
            <w:r>
              <w:rPr>
                <w:rFonts w:ascii="Times New Roman" w:hAnsi="Times New Roman"/>
                <w:bCs/>
                <w:sz w:val="21"/>
                <w:szCs w:val="21"/>
                <w:lang w:val="en-US"/>
              </w:rPr>
              <w:t>Specify RAN visible QoE enhancements for QoE value, RAN visible QoE trigger event, RAN visible QoE Report over F1.</w:t>
            </w:r>
          </w:p>
          <w:p>
            <w:pPr>
              <w:numPr>
                <w:ilvl w:val="0"/>
                <w:numId w:val="6"/>
              </w:numPr>
              <w:spacing w:after="0"/>
              <w:rPr>
                <w:rFonts w:ascii="Times New Roman" w:hAnsi="Times New Roman"/>
                <w:color w:val="00B050"/>
                <w:sz w:val="21"/>
                <w:szCs w:val="21"/>
                <w:lang w:eastAsia="en-US"/>
              </w:rPr>
            </w:pPr>
            <w:r>
              <w:rPr>
                <w:rFonts w:ascii="Times New Roman" w:hAnsi="Times New Roman"/>
                <w:bCs/>
                <w:sz w:val="21"/>
                <w:szCs w:val="21"/>
                <w:lang w:val="en-US"/>
              </w:rPr>
              <w:t xml:space="preserve">Specify QoE reporting handling enhancement for </w:t>
            </w:r>
            <w:r>
              <w:rPr>
                <w:rFonts w:ascii="Times New Roman" w:hAnsi="Times New Roman"/>
                <w:bCs/>
                <w:sz w:val="21"/>
                <w:szCs w:val="21"/>
                <w:lang w:val="en-US" w:bidi="ar"/>
              </w:rPr>
              <w:t xml:space="preserve">overload </w:t>
            </w:r>
            <w:r>
              <w:rPr>
                <w:rFonts w:ascii="Times New Roman" w:hAnsi="Times New Roman"/>
                <w:bCs/>
                <w:sz w:val="21"/>
                <w:szCs w:val="21"/>
                <w:lang w:val="en-US"/>
              </w:rPr>
              <w:t>scenario</w:t>
            </w:r>
            <w:r>
              <w:rPr>
                <w:rFonts w:ascii="Times New Roman" w:hAnsi="Times New Roman"/>
                <w:bCs/>
                <w:sz w:val="21"/>
                <w:szCs w:val="21"/>
                <w:lang w:val="en-US" w:bidi="ar"/>
              </w:rPr>
              <w:t>.</w:t>
            </w:r>
          </w:p>
        </w:tc>
      </w:tr>
    </w:tbl>
    <w:p>
      <w:pPr>
        <w:rPr>
          <w:rFonts w:ascii="Times New Roman" w:hAnsi="Times New Roman"/>
          <w:color w:val="00B050"/>
          <w:sz w:val="21"/>
          <w:szCs w:val="21"/>
          <w:lang w:eastAsia="en-US"/>
        </w:rPr>
      </w:pPr>
    </w:p>
    <w:p>
      <w:pPr>
        <w:pStyle w:val="41"/>
        <w:spacing w:before="0" w:after="120"/>
        <w:rPr>
          <w:rStyle w:val="44"/>
          <w:rFonts w:ascii="Times New Roman" w:hAnsi="Times New Roman" w:eastAsia="宋体"/>
          <w:i w:val="0"/>
          <w:color w:val="auto"/>
          <w:sz w:val="21"/>
          <w:szCs w:val="21"/>
          <w:lang w:eastAsia="zh-CN"/>
        </w:rPr>
      </w:pPr>
      <w:r>
        <w:rPr>
          <w:rStyle w:val="44"/>
          <w:rFonts w:hint="eastAsia" w:ascii="Times New Roman" w:hAnsi="Times New Roman" w:eastAsia="宋体"/>
          <w:i w:val="0"/>
          <w:color w:val="auto"/>
          <w:sz w:val="21"/>
          <w:szCs w:val="21"/>
          <w:lang w:eastAsia="zh-CN"/>
        </w:rPr>
        <w:t>In RAN3#118 meeting, the final list are agreed to be discussed in R18:</w:t>
      </w:r>
    </w:p>
    <w:p>
      <w:pPr>
        <w:rPr>
          <w:rFonts w:ascii="Calibri" w:hAnsi="Calibri" w:cs="Calibri"/>
          <w:i/>
          <w:iCs/>
          <w:color w:val="00B050"/>
          <w:kern w:val="2"/>
          <w:sz w:val="16"/>
          <w:szCs w:val="16"/>
        </w:rPr>
      </w:pPr>
      <w:r>
        <w:rPr>
          <w:rFonts w:ascii="Calibri" w:hAnsi="Calibri" w:cs="Calibri"/>
          <w:i/>
          <w:iCs/>
          <w:color w:val="00B050"/>
          <w:kern w:val="2"/>
          <w:sz w:val="16"/>
          <w:szCs w:val="16"/>
        </w:rPr>
        <w:t>RVQoE value (pending SA4 reply).</w:t>
      </w:r>
    </w:p>
    <w:p>
      <w:pPr>
        <w:rPr>
          <w:rFonts w:ascii="Calibri" w:hAnsi="Calibri" w:cs="Calibri"/>
          <w:i/>
          <w:iCs/>
          <w:color w:val="00B050"/>
          <w:kern w:val="2"/>
          <w:sz w:val="16"/>
          <w:szCs w:val="16"/>
        </w:rPr>
      </w:pPr>
      <w:r>
        <w:rPr>
          <w:rFonts w:ascii="Calibri" w:hAnsi="Calibri" w:cs="Calibri"/>
          <w:i/>
          <w:iCs/>
          <w:color w:val="00B050"/>
          <w:kern w:val="2"/>
          <w:sz w:val="16"/>
          <w:szCs w:val="16"/>
        </w:rPr>
        <w:t>Assistance information for handling of QoE reporting upon RAN overload.</w:t>
      </w:r>
    </w:p>
    <w:p>
      <w:pPr>
        <w:rPr>
          <w:rFonts w:ascii="Calibri" w:hAnsi="Calibri" w:cs="Calibri"/>
          <w:i/>
          <w:iCs/>
          <w:color w:val="00B050"/>
          <w:kern w:val="2"/>
          <w:sz w:val="16"/>
          <w:szCs w:val="16"/>
        </w:rPr>
      </w:pPr>
      <w:r>
        <w:rPr>
          <w:rFonts w:ascii="Calibri" w:hAnsi="Calibri" w:cs="Calibri"/>
          <w:i/>
          <w:iCs/>
          <w:color w:val="00B050"/>
          <w:kern w:val="2"/>
          <w:sz w:val="16"/>
          <w:szCs w:val="16"/>
        </w:rPr>
        <w:t>DU activation/deactivation/pause/resume of RVQoE reporting over F1.</w:t>
      </w:r>
    </w:p>
    <w:p>
      <w:pPr>
        <w:rPr>
          <w:rFonts w:ascii="Calibri" w:hAnsi="Calibri" w:cs="Calibri"/>
          <w:i/>
          <w:iCs/>
          <w:color w:val="00B050"/>
          <w:kern w:val="2"/>
          <w:sz w:val="16"/>
          <w:szCs w:val="16"/>
        </w:rPr>
      </w:pPr>
      <w:r>
        <w:rPr>
          <w:rFonts w:ascii="Calibri" w:hAnsi="Calibri" w:cs="Calibri"/>
          <w:i/>
          <w:iCs/>
          <w:color w:val="00B050"/>
          <w:kern w:val="2"/>
          <w:sz w:val="16"/>
          <w:szCs w:val="16"/>
        </w:rPr>
        <w:t>DU participation in assembling the RVQoE configuration.</w:t>
      </w:r>
    </w:p>
    <w:p>
      <w:pPr>
        <w:pStyle w:val="41"/>
        <w:spacing w:before="0" w:after="120"/>
        <w:rPr>
          <w:rStyle w:val="44"/>
          <w:rFonts w:ascii="Times New Roman" w:hAnsi="Times New Roman" w:eastAsia="宋体"/>
          <w:i w:val="0"/>
          <w:color w:val="auto"/>
          <w:sz w:val="21"/>
          <w:szCs w:val="21"/>
          <w:lang w:eastAsia="zh-CN"/>
        </w:rPr>
      </w:pPr>
      <w:r>
        <w:rPr>
          <w:rFonts w:ascii="Calibri" w:hAnsi="Calibri" w:cs="Calibri"/>
          <w:iCs/>
          <w:color w:val="00B050"/>
          <w:kern w:val="2"/>
          <w:sz w:val="16"/>
          <w:szCs w:val="16"/>
        </w:rPr>
        <w:t>Event-based RVQoE reporting trigger.</w:t>
      </w:r>
    </w:p>
    <w:p>
      <w:pPr>
        <w:pStyle w:val="41"/>
        <w:spacing w:before="0" w:after="120"/>
        <w:rPr>
          <w:rStyle w:val="44"/>
          <w:rFonts w:ascii="Times New Roman" w:hAnsi="Times New Roman"/>
          <w:i w:val="0"/>
          <w:color w:val="auto"/>
          <w:sz w:val="22"/>
          <w:lang w:val="en-GB"/>
        </w:rPr>
      </w:pPr>
      <w:r>
        <w:rPr>
          <w:rStyle w:val="44"/>
          <w:rFonts w:ascii="Times New Roman" w:hAnsi="Times New Roman"/>
          <w:i w:val="0"/>
          <w:color w:val="auto"/>
          <w:sz w:val="21"/>
          <w:szCs w:val="21"/>
          <w:lang w:val="en-GB"/>
        </w:rPr>
        <w:t xml:space="preserve">This paper discusses </w:t>
      </w:r>
      <w:r>
        <w:rPr>
          <w:rStyle w:val="44"/>
          <w:rFonts w:ascii="Times New Roman" w:hAnsi="Times New Roman" w:eastAsia="等线"/>
          <w:i w:val="0"/>
          <w:color w:val="auto"/>
          <w:sz w:val="21"/>
          <w:szCs w:val="21"/>
          <w:lang w:eastAsia="zh-CN"/>
        </w:rPr>
        <w:t xml:space="preserve">the </w:t>
      </w:r>
      <w:r>
        <w:rPr>
          <w:rStyle w:val="44"/>
          <w:rFonts w:hint="eastAsia" w:ascii="Times New Roman" w:hAnsi="Times New Roman" w:eastAsia="等线"/>
          <w:i w:val="0"/>
          <w:color w:val="auto"/>
          <w:sz w:val="21"/>
          <w:szCs w:val="21"/>
          <w:lang w:eastAsia="zh-CN"/>
        </w:rPr>
        <w:t xml:space="preserve">above </w:t>
      </w:r>
      <w:r>
        <w:rPr>
          <w:rStyle w:val="44"/>
          <w:rFonts w:ascii="Times New Roman" w:hAnsi="Times New Roman" w:eastAsia="等线"/>
          <w:i w:val="0"/>
          <w:color w:val="auto"/>
          <w:sz w:val="21"/>
          <w:szCs w:val="21"/>
          <w:lang w:eastAsia="zh-CN"/>
        </w:rPr>
        <w:t>leftover issues</w:t>
      </w:r>
      <w:r>
        <w:rPr>
          <w:rStyle w:val="44"/>
          <w:rFonts w:hint="eastAsia" w:ascii="Times New Roman" w:hAnsi="Times New Roman" w:eastAsia="等线"/>
          <w:i w:val="0"/>
          <w:color w:val="auto"/>
          <w:sz w:val="21"/>
          <w:szCs w:val="21"/>
          <w:lang w:eastAsia="zh-CN"/>
        </w:rPr>
        <w:t xml:space="preserve"> </w:t>
      </w:r>
      <w:r>
        <w:rPr>
          <w:rStyle w:val="44"/>
          <w:rFonts w:ascii="Times New Roman" w:hAnsi="Times New Roman" w:eastAsia="等线"/>
          <w:i w:val="0"/>
          <w:color w:val="auto"/>
          <w:sz w:val="21"/>
          <w:szCs w:val="21"/>
          <w:lang w:eastAsia="zh-CN"/>
        </w:rPr>
        <w:t>which have been approved to be further discussed in R18</w:t>
      </w:r>
      <w:r>
        <w:rPr>
          <w:rStyle w:val="44"/>
          <w:rFonts w:ascii="Times New Roman" w:hAnsi="Times New Roman"/>
          <w:i w:val="0"/>
          <w:color w:val="auto"/>
          <w:sz w:val="21"/>
          <w:szCs w:val="21"/>
          <w:lang w:val="en-GB"/>
        </w:rPr>
        <w:t>.</w:t>
      </w:r>
    </w:p>
    <w:p>
      <w:pPr>
        <w:pStyle w:val="2"/>
        <w:rPr>
          <w:rFonts w:eastAsia="宋体"/>
        </w:rPr>
      </w:pPr>
      <w:r>
        <w:rPr>
          <w:rFonts w:eastAsia="宋体"/>
        </w:rPr>
        <w:t>Discussion</w:t>
      </w:r>
    </w:p>
    <w:p>
      <w:pPr>
        <w:pStyle w:val="3"/>
        <w:ind w:left="1134" w:hanging="1134"/>
        <w:rPr>
          <w:rFonts w:eastAsia="宋体" w:cs="Times New Roman"/>
          <w:sz w:val="24"/>
          <w:szCs w:val="20"/>
          <w:lang w:val="en-US"/>
        </w:rPr>
      </w:pPr>
      <w:r>
        <w:rPr>
          <w:rFonts w:hint="eastAsia" w:eastAsia="宋体" w:cs="Times New Roman"/>
          <w:sz w:val="24"/>
          <w:szCs w:val="20"/>
          <w:lang w:val="en-US"/>
        </w:rPr>
        <w:t>QoE reporting handling enhancement for overload</w:t>
      </w:r>
    </w:p>
    <w:p>
      <w:pPr>
        <w:rPr>
          <w:rFonts w:ascii="Times New Roman" w:hAnsi="Times New Roman" w:eastAsia="宋体"/>
          <w:sz w:val="21"/>
          <w:szCs w:val="21"/>
          <w:lang w:val="en-US"/>
        </w:rPr>
      </w:pPr>
      <w:r>
        <w:rPr>
          <w:rFonts w:ascii="Times New Roman" w:hAnsi="Times New Roman"/>
          <w:sz w:val="21"/>
          <w:szCs w:val="21"/>
        </w:rPr>
        <w:t xml:space="preserve">In Rel-17, the RAN overload mechanism for encapsulated QoE </w:t>
      </w:r>
      <w:r>
        <w:rPr>
          <w:rFonts w:hint="eastAsia" w:ascii="Times New Roman" w:hAnsi="Times New Roman" w:eastAsia="宋体"/>
          <w:sz w:val="21"/>
          <w:szCs w:val="21"/>
          <w:lang w:val="en-US"/>
        </w:rPr>
        <w:t xml:space="preserve">was </w:t>
      </w:r>
      <w:r>
        <w:rPr>
          <w:rFonts w:ascii="Times New Roman" w:hAnsi="Times New Roman"/>
          <w:sz w:val="21"/>
          <w:szCs w:val="21"/>
        </w:rPr>
        <w:t>defined</w:t>
      </w:r>
      <w:r>
        <w:rPr>
          <w:rFonts w:hint="eastAsia" w:ascii="Times New Roman" w:hAnsi="Times New Roman" w:eastAsia="宋体"/>
          <w:sz w:val="21"/>
          <w:szCs w:val="21"/>
          <w:lang w:val="en-US"/>
        </w:rPr>
        <w:t>.</w:t>
      </w:r>
      <w:r>
        <w:rPr>
          <w:rFonts w:ascii="Times New Roman" w:hAnsi="Times New Roman"/>
          <w:sz w:val="21"/>
          <w:szCs w:val="21"/>
        </w:rPr>
        <w:t xml:space="preserve"> In Rel-17, the mechanism of pausing QoE reporting is performed according to the decision of gNB. As the QoE measurement configuration is initiated by OAM, gNB can transfer the QoE reporting according to service priority</w:t>
      </w:r>
      <w:r>
        <w:rPr>
          <w:rFonts w:hint="eastAsia" w:ascii="Times New Roman" w:hAnsi="Times New Roman" w:eastAsia="宋体"/>
          <w:sz w:val="21"/>
          <w:szCs w:val="21"/>
          <w:lang w:val="en-US"/>
        </w:rPr>
        <w:t xml:space="preserve"> to guarantee the QoE reporting transfer for high priority QoE measurements as much as possible</w:t>
      </w:r>
      <w:r>
        <w:rPr>
          <w:rFonts w:ascii="Times New Roman" w:hAnsi="Times New Roman"/>
          <w:sz w:val="21"/>
          <w:szCs w:val="21"/>
        </w:rPr>
        <w:t>.</w:t>
      </w:r>
      <w:r>
        <w:rPr>
          <w:rFonts w:hint="eastAsia" w:ascii="Times New Roman" w:hAnsi="Times New Roman" w:eastAsia="宋体"/>
          <w:sz w:val="21"/>
          <w:szCs w:val="21"/>
          <w:lang w:val="en-US"/>
        </w:rPr>
        <w:t xml:space="preserve"> </w:t>
      </w:r>
    </w:p>
    <w:p>
      <w:pPr>
        <w:rPr>
          <w:rFonts w:ascii="Times New Roman" w:hAnsi="Times New Roman" w:eastAsia="宋体"/>
          <w:sz w:val="21"/>
          <w:szCs w:val="21"/>
          <w:lang w:val="en-US"/>
        </w:rPr>
      </w:pPr>
      <w:r>
        <w:rPr>
          <w:rFonts w:hint="eastAsia" w:ascii="Times New Roman" w:hAnsi="Times New Roman" w:eastAsia="宋体"/>
          <w:sz w:val="21"/>
          <w:szCs w:val="21"/>
          <w:lang w:val="en-US"/>
        </w:rPr>
        <w:t>The OAM can set the QoE reporting priority according to the user priority, slice priority or service priority, gNB can pause the QoE reporting according to the priority set by OAM. If there QoE reporting priority is not supported, gNB can only pause the QoE reporting according to it</w:t>
      </w:r>
      <w:r>
        <w:rPr>
          <w:rFonts w:ascii="Times New Roman" w:hAnsi="Times New Roman" w:eastAsia="宋体"/>
          <w:sz w:val="21"/>
          <w:szCs w:val="21"/>
          <w:lang w:val="en-US"/>
        </w:rPr>
        <w:t>’</w:t>
      </w:r>
      <w:r>
        <w:rPr>
          <w:rFonts w:hint="eastAsia" w:ascii="Times New Roman" w:hAnsi="Times New Roman" w:eastAsia="宋体"/>
          <w:sz w:val="21"/>
          <w:szCs w:val="21"/>
          <w:lang w:val="en-US"/>
        </w:rPr>
        <w:t>s own algorithm. Some QoE reports which should be guaranteed as much as possible may be paused first, and the OAM will receive the QoE reports late, or QoE reports may lost due to the UE buffer is overload. It is not a good way to pause all QoE reporting during overload, differentiated strategy should be taken considering the traffic load.</w:t>
      </w:r>
    </w:p>
    <w:p>
      <w:pPr>
        <w:rPr>
          <w:rFonts w:ascii="Times New Roman" w:hAnsi="Times New Roman" w:eastAsia="宋体"/>
          <w:sz w:val="21"/>
          <w:szCs w:val="21"/>
          <w:lang w:val="en-US"/>
        </w:rPr>
      </w:pPr>
      <w:r>
        <w:rPr>
          <w:rFonts w:hint="eastAsia" w:ascii="Times New Roman" w:hAnsi="Times New Roman" w:eastAsia="宋体"/>
          <w:sz w:val="21"/>
          <w:szCs w:val="21"/>
          <w:lang w:val="en-US"/>
        </w:rPr>
        <w:t xml:space="preserve">In R18, QoE measurement configuration and collection in RRC_INACTIVE and RRC_IDLE states for MBS is one of the objective. For QoE reporting when UE enter into RRC_CONNECTED state, it may have large amount of QoE reports. The QoE reports are stored in UE AS layer, if the buffer is full, and the important QoE reporting may be discard. Pausing all QoE reporting during overload is not a good mechanism, it can be enhanced. QoE reporting priority can be used to control the QoE reporting storage and QoE reporting. </w:t>
      </w:r>
    </w:p>
    <w:p>
      <w:pPr>
        <w:rPr>
          <w:rFonts w:ascii="Times New Roman" w:hAnsi="Times New Roman" w:eastAsia="宋体"/>
          <w:sz w:val="21"/>
          <w:szCs w:val="21"/>
          <w:lang w:val="en-US"/>
        </w:rPr>
      </w:pPr>
      <w:r>
        <w:rPr>
          <w:rFonts w:hint="eastAsia" w:ascii="Times New Roman" w:hAnsi="Times New Roman" w:eastAsia="宋体"/>
          <w:sz w:val="21"/>
          <w:szCs w:val="21"/>
          <w:lang w:val="en-US"/>
        </w:rPr>
        <w:t>Anyway, the QoE reporting priority is an useful assistant information for gNB and UE, the final decision for QoE reporting storage and reports should be made by gNB and UE itself.</w:t>
      </w:r>
    </w:p>
    <w:p>
      <w:pPr>
        <w:rPr>
          <w:rFonts w:ascii="Times New Roman" w:hAnsi="Times New Roman" w:eastAsia="宋体"/>
          <w:b/>
          <w:sz w:val="21"/>
          <w:szCs w:val="21"/>
          <w:highlight w:val="none"/>
          <w:lang w:val="en-US"/>
        </w:rPr>
      </w:pPr>
      <w:r>
        <w:rPr>
          <w:rFonts w:ascii="Times New Roman" w:hAnsi="Times New Roman" w:eastAsia="宋体"/>
          <w:b/>
          <w:sz w:val="21"/>
          <w:szCs w:val="21"/>
          <w:highlight w:val="none"/>
        </w:rPr>
        <w:t xml:space="preserve">Proposal </w:t>
      </w:r>
      <w:r>
        <w:rPr>
          <w:rFonts w:hint="eastAsia" w:ascii="Times New Roman" w:hAnsi="Times New Roman" w:eastAsia="宋体"/>
          <w:b/>
          <w:sz w:val="21"/>
          <w:szCs w:val="21"/>
          <w:highlight w:val="none"/>
          <w:lang w:val="en-US"/>
        </w:rPr>
        <w:t>1</w:t>
      </w:r>
      <w:r>
        <w:rPr>
          <w:rFonts w:ascii="Times New Roman" w:hAnsi="Times New Roman" w:eastAsia="宋体"/>
          <w:b/>
          <w:sz w:val="21"/>
          <w:szCs w:val="21"/>
          <w:highlight w:val="none"/>
        </w:rPr>
        <w:t xml:space="preserve">: </w:t>
      </w:r>
      <w:r>
        <w:rPr>
          <w:rFonts w:hint="eastAsia" w:ascii="Times New Roman" w:hAnsi="Times New Roman" w:eastAsia="宋体"/>
          <w:b/>
          <w:sz w:val="21"/>
          <w:szCs w:val="21"/>
          <w:highlight w:val="none"/>
          <w:lang w:val="en-US"/>
        </w:rPr>
        <w:t xml:space="preserve">QoE reporting priority should be included in the QoE configuration, and it </w:t>
      </w:r>
      <w:r>
        <w:rPr>
          <w:rFonts w:ascii="Times New Roman" w:hAnsi="Times New Roman" w:eastAsia="宋体"/>
          <w:b/>
          <w:sz w:val="21"/>
          <w:szCs w:val="21"/>
          <w:highlight w:val="none"/>
          <w:lang w:val="en-US"/>
        </w:rPr>
        <w:t xml:space="preserve">shall </w:t>
      </w:r>
      <w:r>
        <w:rPr>
          <w:rFonts w:hint="eastAsia" w:ascii="Times New Roman" w:hAnsi="Times New Roman" w:eastAsia="宋体"/>
          <w:b/>
          <w:sz w:val="21"/>
          <w:szCs w:val="21"/>
          <w:highlight w:val="none"/>
          <w:lang w:val="en-US"/>
        </w:rPr>
        <w:t xml:space="preserve"> </w:t>
      </w:r>
      <w:r>
        <w:rPr>
          <w:rFonts w:ascii="Times New Roman" w:hAnsi="Times New Roman" w:eastAsia="宋体"/>
          <w:b/>
          <w:sz w:val="21"/>
          <w:szCs w:val="21"/>
          <w:highlight w:val="none"/>
          <w:lang w:val="en-US"/>
        </w:rPr>
        <w:t xml:space="preserve">wait for </w:t>
      </w:r>
      <w:r>
        <w:rPr>
          <w:rFonts w:hint="eastAsia" w:ascii="Times New Roman" w:hAnsi="Times New Roman" w:eastAsia="宋体"/>
          <w:b/>
          <w:sz w:val="21"/>
          <w:szCs w:val="21"/>
          <w:highlight w:val="none"/>
          <w:lang w:val="en-US"/>
        </w:rPr>
        <w:t>RAN2 to decide whether QoE reporting priority should be included in the message send from gNB to UE.</w:t>
      </w:r>
    </w:p>
    <w:p>
      <w:pPr>
        <w:rPr>
          <w:rFonts w:ascii="Times New Roman" w:hAnsi="Times New Roman"/>
        </w:rPr>
      </w:pPr>
    </w:p>
    <w:p>
      <w:pPr>
        <w:pStyle w:val="3"/>
        <w:ind w:left="1134" w:hanging="1134"/>
        <w:rPr>
          <w:rFonts w:eastAsia="宋体" w:cs="Times New Roman"/>
          <w:sz w:val="24"/>
          <w:szCs w:val="20"/>
          <w:lang w:val="en-US"/>
        </w:rPr>
      </w:pPr>
      <w:r>
        <w:rPr>
          <w:rFonts w:hint="eastAsia" w:eastAsia="宋体" w:cs="Times New Roman"/>
          <w:sz w:val="24"/>
          <w:szCs w:val="20"/>
          <w:lang w:val="en-US"/>
        </w:rPr>
        <w:t>RAN visible QoE for QoE value</w:t>
      </w:r>
    </w:p>
    <w:p>
      <w:pPr>
        <w:rPr>
          <w:rFonts w:ascii="Times New Roman" w:hAnsi="Times New Roman" w:eastAsia="宋体"/>
          <w:sz w:val="21"/>
          <w:szCs w:val="21"/>
          <w:lang w:val="en-US"/>
        </w:rPr>
      </w:pPr>
      <w:r>
        <w:rPr>
          <w:rFonts w:hint="eastAsia" w:ascii="Times New Roman" w:hAnsi="Times New Roman" w:eastAsia="宋体"/>
          <w:sz w:val="21"/>
          <w:szCs w:val="21"/>
          <w:lang w:val="en-US"/>
        </w:rPr>
        <w:t>For RVQoE value, SA4 had the follow reply:</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cs="Arial"/>
                <w:b/>
                <w:bCs/>
                <w:color w:val="000000"/>
                <w:lang w:val="en-US"/>
              </w:rPr>
            </w:pPr>
            <w:r>
              <w:rPr>
                <w:rFonts w:cs="Arial"/>
                <w:b/>
                <w:bCs/>
                <w:color w:val="000000"/>
                <w:lang w:val="en-US"/>
              </w:rPr>
              <w:t>Question 1:</w:t>
            </w:r>
          </w:p>
          <w:p>
            <w:pPr>
              <w:ind w:left="360"/>
              <w:rPr>
                <w:rFonts w:cs="Arial"/>
                <w:b/>
                <w:bCs/>
                <w:color w:val="000000"/>
                <w:lang w:val="en-US"/>
              </w:rPr>
            </w:pPr>
            <w:r>
              <w:rPr>
                <w:b/>
                <w:bCs/>
                <w:iCs/>
              </w:rPr>
              <w:t>Can a RAN visible QoE value be defined that reflects the overall QoE of an ongoing service, assuming multiple QoE metrics taken into account, like MOS value for audio? In that respect,</w:t>
            </w:r>
            <w:r>
              <w:rPr>
                <w:b/>
                <w:bCs/>
              </w:rPr>
              <w:t xml:space="preserve"> RAN3 notices that the TR 26.909 states:</w:t>
            </w:r>
          </w:p>
          <w:p>
            <w:pPr>
              <w:ind w:left="360"/>
              <w:rPr>
                <w:b/>
                <w:bCs/>
                <w:i/>
                <w:iCs/>
              </w:rPr>
            </w:pPr>
            <w:r>
              <w:rPr>
                <w:b/>
                <w:bCs/>
                <w:i/>
                <w:iCs/>
              </w:rPr>
              <w:t>"While MOS calculation in the client is possible, it severely limits the use of advanced network optimization, use of flexible MOS windowing, and also introduces problems when the MOS model calculation needs to be updated. A better solution is to make sure that the raw reported QoE metrics are enough to be able to calculate the final MOS value in the QoE server."</w:t>
            </w:r>
          </w:p>
          <w:p>
            <w:pPr>
              <w:ind w:left="360"/>
              <w:rPr>
                <w:b/>
                <w:bCs/>
              </w:rPr>
            </w:pPr>
            <w:r>
              <w:rPr>
                <w:b/>
                <w:bCs/>
              </w:rPr>
              <w:t>RAN3 wonders whether the above conclusion about MOS in TR 26.909 still holds.</w:t>
            </w:r>
          </w:p>
          <w:p>
            <w:pPr>
              <w:rPr>
                <w:color w:val="0000FF"/>
              </w:rPr>
            </w:pPr>
            <w:r>
              <w:rPr>
                <w:b/>
                <w:bCs/>
                <w:color w:val="0000FF"/>
              </w:rPr>
              <w:t>SA4 reply</w:t>
            </w:r>
            <w:r>
              <w:rPr>
                <w:color w:val="0000FF"/>
              </w:rPr>
              <w:t>:</w:t>
            </w:r>
          </w:p>
          <w:p>
            <w:pPr>
              <w:ind w:left="360"/>
              <w:rPr>
                <w:color w:val="0000FF"/>
              </w:rPr>
            </w:pPr>
            <w:r>
              <w:rPr>
                <w:color w:val="0000FF"/>
              </w:rPr>
              <w:t>In general, SA4 believes that while in principle it is possible to define a RAN visible QoE value as described above by RAN3, the absence of the necessary standards makes it not feasible in practice at this stage. The above conclusion in TR 26.909 as cited by RAN3 still holds, and furthermore, additional factors for consideration are described below:</w:t>
            </w:r>
          </w:p>
          <w:p>
            <w:pPr>
              <w:pStyle w:val="39"/>
              <w:numPr>
                <w:ilvl w:val="0"/>
                <w:numId w:val="7"/>
              </w:numPr>
              <w:rPr>
                <w:color w:val="0000FF"/>
              </w:rPr>
            </w:pPr>
            <w:r>
              <w:rPr>
                <w:color w:val="0000FF"/>
              </w:rPr>
              <w:t xml:space="preserve">As a general principle, MOS-based QoE characterization must be performed according to standardized algorithms. The development of objective streaming quality standards is within the responsibility of ITU-T SG12. One example, is the standard ITU-T P.1203 "Parametric bitstream-based quality assessment of progressive download and adaptive audiovisual streaming services over reliable transport", which was approved in 2016. </w:t>
            </w:r>
          </w:p>
          <w:p>
            <w:pPr>
              <w:pStyle w:val="39"/>
              <w:numPr>
                <w:ilvl w:val="0"/>
                <w:numId w:val="7"/>
              </w:numPr>
              <w:rPr>
                <w:color w:val="0000FF"/>
              </w:rPr>
            </w:pPr>
            <w:r>
              <w:rPr>
                <w:color w:val="0000FF"/>
              </w:rPr>
              <w:t xml:space="preserve">ITU-T P.1203 addresses both individual short-term video and audio MOS estimation, as well as longer-term A/V MOS integration (minutes or longer, e.g., for the entire media session). The standardized algorithms include also low-complexity modes intended for implementation in receiving streaming client devices. However, </w:t>
            </w:r>
            <w:r>
              <w:rPr>
                <w:bCs/>
                <w:color w:val="0000FF"/>
              </w:rPr>
              <w:t>its algorithms are somewhat outdated, and only cover H.264 up to HD quality</w:t>
            </w:r>
            <w:r>
              <w:rPr>
                <w:color w:val="0000FF"/>
              </w:rPr>
              <w:t xml:space="preserve">. </w:t>
            </w:r>
          </w:p>
          <w:p>
            <w:pPr>
              <w:pStyle w:val="39"/>
              <w:numPr>
                <w:ilvl w:val="0"/>
                <w:numId w:val="7"/>
              </w:numPr>
              <w:rPr>
                <w:color w:val="0000FF"/>
              </w:rPr>
            </w:pPr>
            <w:r>
              <w:rPr>
                <w:color w:val="0000FF"/>
              </w:rPr>
              <w:t xml:space="preserve">There is related follow-up ITU-T work to P.1203 in P.1204, which addresses MOS estimation for other, more modern codecs including H.265 and VP9, and up to 4K/UHD resolution. However, </w:t>
            </w:r>
            <w:r>
              <w:rPr>
                <w:bCs/>
                <w:color w:val="0000FF"/>
              </w:rPr>
              <w:t>the planned specification of low-complexity quality assessment modules in P.1204 has not yet concluded in ITU-T SG12.</w:t>
            </w:r>
          </w:p>
          <w:p>
            <w:pPr>
              <w:pStyle w:val="39"/>
              <w:numPr>
                <w:ilvl w:val="0"/>
                <w:numId w:val="7"/>
              </w:numPr>
              <w:rPr>
                <w:color w:val="0000FF"/>
              </w:rPr>
            </w:pPr>
            <w:r>
              <w:rPr>
                <w:color w:val="0000FF"/>
              </w:rPr>
              <w:t xml:space="preserve">A measure of the overall QoE value for an ongoing service must in principle estimate the experience of the human user of the service. For multimedia services this inherently means that the overall service QoE cannot be evaluated “instantly”, but rather must be based on data covering longer periods of time, i.e., at a “human time-scale”. This input time-scale may vary from 10 seconds to the whole duration of the associated media content. For instance, P.1203 states 30 seconds as the shortest valid calculation interval. </w:t>
            </w:r>
            <w:r>
              <w:rPr>
                <w:bCs/>
                <w:color w:val="0000FF"/>
              </w:rPr>
              <w:t>In other words, a provided MOS value would likely not support real-time RAN resource optimization.</w:t>
            </w:r>
          </w:p>
          <w:p>
            <w:pPr>
              <w:pStyle w:val="39"/>
              <w:numPr>
                <w:ilvl w:val="0"/>
                <w:numId w:val="7"/>
              </w:numPr>
              <w:rPr>
                <w:color w:val="0000FF"/>
              </w:rPr>
            </w:pPr>
            <w:r>
              <w:rPr>
                <w:color w:val="0000FF"/>
              </w:rPr>
              <w:t xml:space="preserve">Another characteristic of a MOS value is the inherent absence of granular information regarding the contributing components, making it difficult to know what aspect of the transmission chain to improve. Therefore, </w:t>
            </w:r>
            <w:r>
              <w:rPr>
                <w:bCs/>
                <w:color w:val="0000FF"/>
              </w:rPr>
              <w:t>SA4 suggests that RAN3 evaluate the means to determine, when a quality degradation is detected, whether that is mainly attributable to the network itself, and if so, which network “knobs and dials” to adjust towards achieving dynamic and practical improvement in subjective QoE</w:t>
            </w:r>
            <w:r>
              <w:rPr>
                <w:color w:val="0000FF"/>
              </w:rPr>
              <w:t xml:space="preserve">. </w:t>
            </w:r>
          </w:p>
          <w:p>
            <w:pPr>
              <w:pStyle w:val="39"/>
              <w:numPr>
                <w:ilvl w:val="0"/>
                <w:numId w:val="7"/>
              </w:numPr>
              <w:rPr>
                <w:color w:val="0000FF"/>
              </w:rPr>
            </w:pPr>
            <w:r>
              <w:rPr>
                <w:color w:val="0000FF"/>
              </w:rPr>
              <w:t>The MOS-based QoE assessment methods of ITU-T, when applied to 3GPP, incurs additional processing overhead on the UE, especially at the application layer in executing the associated algorithms, the degree of which depends on the complexity of algorithm design. As stated earlier, the low-complexity algorithms of P.1204 are still not standardized.</w:t>
            </w:r>
          </w:p>
          <w:p>
            <w:pPr>
              <w:spacing w:after="240"/>
              <w:ind w:left="720"/>
              <w:rPr>
                <w:color w:val="0000FF"/>
              </w:rPr>
            </w:pPr>
            <w:r>
              <w:rPr>
                <w:color w:val="0000FF"/>
              </w:rPr>
              <w:t xml:space="preserve">Due to the relation to the ITU-T P.1204 work, SA4 also addresses this LS reply to ITU-T SG12, with inquiry on their plans for further work/completion of that work item. </w:t>
            </w:r>
          </w:p>
          <w:p>
            <w:pPr>
              <w:rPr>
                <w:rFonts w:cs="Arial"/>
                <w:b/>
                <w:bCs/>
                <w:color w:val="000000"/>
                <w:lang w:val="en-US"/>
              </w:rPr>
            </w:pPr>
            <w:r>
              <w:rPr>
                <w:rFonts w:cs="Arial"/>
                <w:b/>
                <w:bCs/>
                <w:color w:val="000000"/>
                <w:lang w:val="en-US"/>
              </w:rPr>
              <w:t xml:space="preserve">Question 2: </w:t>
            </w:r>
            <w:r>
              <w:rPr>
                <w:b/>
                <w:bCs/>
                <w:lang w:val="en-US"/>
              </w:rPr>
              <w:t>If the above conclusion about MOS from TR 26.909 does not hold, is it feasible to define such a RAN visible QoE</w:t>
            </w:r>
            <w:r>
              <w:rPr>
                <w:rFonts w:hint="eastAsia"/>
                <w:b/>
                <w:bCs/>
                <w:lang w:val="en-US"/>
              </w:rPr>
              <w:t xml:space="preserve"> value </w:t>
            </w:r>
            <w:r>
              <w:rPr>
                <w:b/>
                <w:bCs/>
                <w:lang w:val="en-US"/>
              </w:rPr>
              <w:t>that would be useful at the gNB?</w:t>
            </w:r>
          </w:p>
          <w:p>
            <w:pPr>
              <w:rPr>
                <w:color w:val="0000FF"/>
              </w:rPr>
            </w:pPr>
            <w:r>
              <w:rPr>
                <w:b/>
                <w:bCs/>
                <w:color w:val="0000FF"/>
              </w:rPr>
              <w:t>SA4 reply</w:t>
            </w:r>
            <w:r>
              <w:rPr>
                <w:color w:val="0000FF"/>
              </w:rPr>
              <w:t xml:space="preserve">: </w:t>
            </w:r>
          </w:p>
          <w:p>
            <w:pPr>
              <w:ind w:left="360"/>
              <w:rPr>
                <w:color w:val="0000FF"/>
              </w:rPr>
            </w:pPr>
            <w:r>
              <w:rPr>
                <w:color w:val="0000FF"/>
              </w:rPr>
              <w:t>Please refer to the above reply. Overall, SA4 wishes to defer a specific answer to this question at this stage, and would also like to seek feedback from ITU SG12.</w:t>
            </w:r>
          </w:p>
          <w:p>
            <w:pPr>
              <w:rPr>
                <w:rFonts w:ascii="Times New Roman" w:hAnsi="Times New Roman" w:eastAsia="宋体"/>
                <w:sz w:val="21"/>
                <w:szCs w:val="21"/>
                <w:lang w:val="en-US"/>
              </w:rPr>
            </w:pPr>
          </w:p>
        </w:tc>
      </w:tr>
    </w:tbl>
    <w:p>
      <w:pPr>
        <w:rPr>
          <w:rFonts w:ascii="Times New Roman" w:hAnsi="Times New Roman" w:eastAsia="宋体"/>
          <w:sz w:val="21"/>
          <w:szCs w:val="21"/>
          <w:lang w:val="en-US"/>
        </w:rPr>
      </w:pPr>
      <w:r>
        <w:rPr>
          <w:rFonts w:hint="eastAsia" w:ascii="Times New Roman" w:hAnsi="Times New Roman" w:eastAsia="宋体"/>
          <w:sz w:val="21"/>
          <w:szCs w:val="21"/>
          <w:lang w:val="en-US"/>
        </w:rPr>
        <w:t>According to the reply, it seems the QoE value is related to ITU-T P.1204 work, and as the provided MOS value would likely not support real-time RAN resource optimization, it must in principle estimate the experience of the human user of the service, RAN should discuss how to use the RVQoE value, and whether the QoE value can be used for RAN optimization.</w:t>
      </w:r>
    </w:p>
    <w:p>
      <w:pPr>
        <w:rPr>
          <w:rFonts w:ascii="Times New Roman" w:hAnsi="Times New Roman"/>
          <w:highlight w:val="none"/>
          <w:lang w:val="en-US"/>
        </w:rPr>
      </w:pPr>
      <w:r>
        <w:rPr>
          <w:rFonts w:ascii="Times New Roman" w:hAnsi="Times New Roman" w:eastAsia="宋体"/>
          <w:b/>
          <w:sz w:val="21"/>
          <w:szCs w:val="21"/>
          <w:highlight w:val="none"/>
        </w:rPr>
        <w:t xml:space="preserve">Proposal </w:t>
      </w:r>
      <w:r>
        <w:rPr>
          <w:rFonts w:hint="eastAsia" w:ascii="Times New Roman" w:hAnsi="Times New Roman" w:eastAsia="宋体"/>
          <w:b/>
          <w:sz w:val="21"/>
          <w:szCs w:val="21"/>
          <w:highlight w:val="none"/>
          <w:lang w:val="en-US"/>
        </w:rPr>
        <w:t>2</w:t>
      </w:r>
      <w:r>
        <w:rPr>
          <w:rFonts w:ascii="Times New Roman" w:hAnsi="Times New Roman" w:eastAsia="宋体"/>
          <w:b/>
          <w:sz w:val="21"/>
          <w:szCs w:val="21"/>
          <w:highlight w:val="none"/>
        </w:rPr>
        <w:t xml:space="preserve">: </w:t>
      </w:r>
      <w:r>
        <w:rPr>
          <w:rFonts w:hint="eastAsia" w:ascii="Times New Roman" w:hAnsi="Times New Roman" w:eastAsia="宋体"/>
          <w:b/>
          <w:sz w:val="21"/>
          <w:szCs w:val="21"/>
          <w:highlight w:val="none"/>
          <w:lang w:val="en-US"/>
        </w:rPr>
        <w:t>RVQoE value definition can be further discussed in RAN</w:t>
      </w:r>
      <w:r>
        <w:rPr>
          <w:rFonts w:ascii="Times New Roman" w:hAnsi="Times New Roman" w:eastAsia="宋体"/>
          <w:b/>
          <w:sz w:val="21"/>
          <w:szCs w:val="21"/>
          <w:highlight w:val="none"/>
          <w:lang w:val="en-US"/>
        </w:rPr>
        <w:t>3</w:t>
      </w:r>
      <w:r>
        <w:rPr>
          <w:rFonts w:hint="eastAsia" w:ascii="Times New Roman" w:hAnsi="Times New Roman" w:eastAsia="宋体"/>
          <w:b/>
          <w:sz w:val="21"/>
          <w:szCs w:val="21"/>
          <w:highlight w:val="none"/>
          <w:lang w:val="en-US"/>
        </w:rPr>
        <w:t xml:space="preserve"> </w:t>
      </w:r>
      <w:r>
        <w:rPr>
          <w:rFonts w:ascii="Times New Roman" w:hAnsi="Times New Roman" w:eastAsia="宋体"/>
          <w:b/>
          <w:sz w:val="21"/>
          <w:szCs w:val="21"/>
          <w:highlight w:val="none"/>
          <w:lang w:val="en-US"/>
        </w:rPr>
        <w:t>and wait for</w:t>
      </w:r>
      <w:r>
        <w:rPr>
          <w:rFonts w:hint="eastAsia" w:ascii="Times New Roman" w:hAnsi="Times New Roman" w:eastAsia="宋体"/>
          <w:b/>
          <w:sz w:val="21"/>
          <w:szCs w:val="21"/>
          <w:highlight w:val="none"/>
          <w:lang w:val="en-US"/>
        </w:rPr>
        <w:t xml:space="preserve"> </w:t>
      </w:r>
      <w:r>
        <w:rPr>
          <w:rFonts w:ascii="Times New Roman" w:hAnsi="Times New Roman" w:eastAsia="宋体"/>
          <w:b/>
          <w:sz w:val="21"/>
          <w:szCs w:val="21"/>
          <w:highlight w:val="none"/>
          <w:lang w:val="en-US"/>
        </w:rPr>
        <w:t>the</w:t>
      </w:r>
      <w:r>
        <w:rPr>
          <w:rFonts w:hint="eastAsia" w:ascii="Times New Roman" w:hAnsi="Times New Roman" w:eastAsia="宋体"/>
          <w:b/>
          <w:sz w:val="21"/>
          <w:szCs w:val="21"/>
          <w:highlight w:val="none"/>
          <w:lang w:val="en-US"/>
        </w:rPr>
        <w:t xml:space="preserve"> conclusion in ITU-T SG12.</w:t>
      </w:r>
    </w:p>
    <w:p>
      <w:pPr>
        <w:rPr>
          <w:rFonts w:ascii="Times New Roman" w:hAnsi="Times New Roman" w:eastAsia="等线"/>
          <w:b/>
          <w:sz w:val="22"/>
          <w:szCs w:val="22"/>
          <w:lang w:val="en-US"/>
        </w:rPr>
      </w:pPr>
    </w:p>
    <w:p>
      <w:pPr>
        <w:pStyle w:val="3"/>
        <w:ind w:left="1134" w:hanging="1134"/>
        <w:rPr>
          <w:rFonts w:eastAsia="宋体" w:cs="Times New Roman"/>
          <w:sz w:val="24"/>
          <w:szCs w:val="20"/>
          <w:lang w:val="en-US"/>
        </w:rPr>
      </w:pPr>
      <w:r>
        <w:rPr>
          <w:rFonts w:hint="eastAsia" w:eastAsia="宋体" w:cs="Times New Roman"/>
          <w:sz w:val="24"/>
          <w:szCs w:val="20"/>
          <w:lang w:val="en-US"/>
        </w:rPr>
        <w:t>DU participation for RVQoE configuration and reporting</w:t>
      </w:r>
    </w:p>
    <w:p>
      <w:pPr>
        <w:rPr>
          <w:rFonts w:ascii="Times New Roman" w:hAnsi="Times New Roman" w:eastAsia="等线"/>
          <w:bCs/>
          <w:sz w:val="22"/>
          <w:szCs w:val="22"/>
          <w:lang w:val="en-US"/>
        </w:rPr>
      </w:pPr>
      <w:r>
        <w:rPr>
          <w:rFonts w:hint="eastAsia" w:ascii="Times New Roman" w:hAnsi="Times New Roman" w:eastAsia="等线"/>
          <w:bCs/>
          <w:sz w:val="22"/>
          <w:szCs w:val="22"/>
          <w:lang w:val="en-US"/>
        </w:rPr>
        <w:t>For RVQoE configuration and reporting, the final consumer maybe the DU, so it is needed to send the RVQoE report to DU, and it was already supported in Rel-17. It may need DU to participate in the assembling of the RVQoE configuration, and CU had the final decision for the RVQoE configuration, it can be further discussed in RAN3. For RVQoE reporting, it is no need for DU to (de)activates the receiving of the RVQoE reports because this can be done during the coordination for RVQoE configuration. CU can send the RVQoE reports to DU according to DU</w:t>
      </w:r>
      <w:r>
        <w:rPr>
          <w:rFonts w:ascii="Times New Roman" w:hAnsi="Times New Roman" w:eastAsia="等线"/>
          <w:bCs/>
          <w:sz w:val="22"/>
          <w:szCs w:val="22"/>
          <w:lang w:val="en-US"/>
        </w:rPr>
        <w:t>’</w:t>
      </w:r>
      <w:r>
        <w:rPr>
          <w:rFonts w:hint="eastAsia" w:ascii="Times New Roman" w:hAnsi="Times New Roman" w:eastAsia="等线"/>
          <w:bCs/>
          <w:sz w:val="22"/>
          <w:szCs w:val="22"/>
          <w:lang w:val="en-US"/>
        </w:rPr>
        <w:t>s requirements.</w:t>
      </w:r>
    </w:p>
    <w:p>
      <w:pPr>
        <w:rPr>
          <w:rFonts w:ascii="Times New Roman" w:hAnsi="Times New Roman" w:eastAsia="宋体"/>
          <w:b/>
          <w:sz w:val="21"/>
          <w:szCs w:val="21"/>
          <w:lang w:val="en-US"/>
        </w:rPr>
      </w:pPr>
      <w:r>
        <w:rPr>
          <w:rFonts w:ascii="Times New Roman" w:hAnsi="Times New Roman" w:eastAsia="宋体"/>
          <w:b/>
          <w:sz w:val="21"/>
          <w:szCs w:val="21"/>
        </w:rPr>
        <w:t xml:space="preserve">Proposal </w:t>
      </w:r>
      <w:r>
        <w:rPr>
          <w:rFonts w:hint="eastAsia" w:ascii="Times New Roman" w:hAnsi="Times New Roman" w:eastAsia="宋体"/>
          <w:b/>
          <w:sz w:val="21"/>
          <w:szCs w:val="21"/>
          <w:lang w:val="en-US"/>
        </w:rPr>
        <w:t>3</w:t>
      </w:r>
      <w:r>
        <w:rPr>
          <w:rFonts w:ascii="Times New Roman" w:hAnsi="Times New Roman" w:eastAsia="宋体"/>
          <w:b/>
          <w:sz w:val="21"/>
          <w:szCs w:val="21"/>
        </w:rPr>
        <w:t xml:space="preserve">: </w:t>
      </w:r>
      <w:r>
        <w:rPr>
          <w:rFonts w:hint="eastAsia" w:ascii="Times New Roman" w:hAnsi="Times New Roman" w:eastAsia="宋体"/>
          <w:b/>
          <w:sz w:val="21"/>
          <w:szCs w:val="21"/>
          <w:lang w:val="en-US"/>
        </w:rPr>
        <w:t>Whether DU should participate in the assembling of RVQoE configuration can be further discussed in RAN3.</w:t>
      </w:r>
    </w:p>
    <w:p>
      <w:pPr>
        <w:rPr>
          <w:rFonts w:ascii="Times New Roman" w:hAnsi="Times New Roman" w:eastAsia="宋体"/>
          <w:b/>
          <w:sz w:val="21"/>
          <w:szCs w:val="21"/>
          <w:lang w:val="en-US"/>
        </w:rPr>
      </w:pPr>
      <w:r>
        <w:rPr>
          <w:rFonts w:hint="eastAsia" w:ascii="Times New Roman" w:hAnsi="Times New Roman" w:eastAsia="宋体"/>
          <w:b/>
          <w:sz w:val="21"/>
          <w:szCs w:val="21"/>
          <w:lang w:val="en-US"/>
        </w:rPr>
        <w:t xml:space="preserve">Proposal 4: It is no need for DU to participate in the activation/deactivation/pause/resume of RVQoE reporting over F1. </w:t>
      </w:r>
    </w:p>
    <w:p>
      <w:pPr>
        <w:rPr>
          <w:rFonts w:ascii="Times New Roman" w:hAnsi="Times New Roman" w:eastAsia="等线"/>
          <w:bCs/>
          <w:sz w:val="22"/>
          <w:szCs w:val="22"/>
          <w:lang w:val="en-US"/>
        </w:rPr>
      </w:pPr>
    </w:p>
    <w:p>
      <w:pPr>
        <w:pStyle w:val="2"/>
        <w:rPr>
          <w:rFonts w:eastAsia="宋体"/>
        </w:rPr>
      </w:pPr>
      <w:r>
        <w:rPr>
          <w:rFonts w:eastAsia="宋体"/>
        </w:rPr>
        <w:t>Conclusion</w:t>
      </w:r>
    </w:p>
    <w:p>
      <w:pPr>
        <w:rPr>
          <w:rFonts w:ascii="Times New Roman" w:hAnsi="Times New Roman" w:eastAsia="宋体"/>
          <w:b/>
          <w:sz w:val="21"/>
          <w:szCs w:val="21"/>
          <w:highlight w:val="none"/>
          <w:lang w:val="en-US"/>
        </w:rPr>
      </w:pPr>
      <w:bookmarkStart w:id="0" w:name="_In-sequence_SDU_delivery"/>
      <w:bookmarkEnd w:id="0"/>
      <w:r>
        <w:rPr>
          <w:rFonts w:ascii="Times New Roman" w:hAnsi="Times New Roman" w:eastAsia="宋体"/>
          <w:b/>
          <w:sz w:val="21"/>
          <w:szCs w:val="21"/>
          <w:highlight w:val="none"/>
        </w:rPr>
        <w:t xml:space="preserve">Proposal </w:t>
      </w:r>
      <w:r>
        <w:rPr>
          <w:rFonts w:hint="eastAsia" w:ascii="Times New Roman" w:hAnsi="Times New Roman" w:eastAsia="宋体"/>
          <w:b/>
          <w:sz w:val="21"/>
          <w:szCs w:val="21"/>
          <w:highlight w:val="none"/>
          <w:lang w:val="en-US"/>
        </w:rPr>
        <w:t>1</w:t>
      </w:r>
      <w:r>
        <w:rPr>
          <w:rFonts w:ascii="Times New Roman" w:hAnsi="Times New Roman" w:eastAsia="宋体"/>
          <w:b/>
          <w:sz w:val="21"/>
          <w:szCs w:val="21"/>
          <w:highlight w:val="none"/>
        </w:rPr>
        <w:t xml:space="preserve">: </w:t>
      </w:r>
      <w:r>
        <w:rPr>
          <w:rFonts w:hint="eastAsia" w:ascii="Times New Roman" w:hAnsi="Times New Roman" w:eastAsia="宋体"/>
          <w:b/>
          <w:sz w:val="21"/>
          <w:szCs w:val="21"/>
          <w:highlight w:val="none"/>
          <w:lang w:val="en-US"/>
        </w:rPr>
        <w:t xml:space="preserve">QoE reporting priority should be included in the QoE configuration, and it </w:t>
      </w:r>
      <w:r>
        <w:rPr>
          <w:rFonts w:ascii="Times New Roman" w:hAnsi="Times New Roman" w:eastAsia="宋体"/>
          <w:b/>
          <w:sz w:val="21"/>
          <w:szCs w:val="21"/>
          <w:highlight w:val="none"/>
          <w:lang w:val="en-US"/>
        </w:rPr>
        <w:t xml:space="preserve">shall </w:t>
      </w:r>
      <w:r>
        <w:rPr>
          <w:rFonts w:hint="eastAsia" w:ascii="Times New Roman" w:hAnsi="Times New Roman" w:eastAsia="宋体"/>
          <w:b/>
          <w:sz w:val="21"/>
          <w:szCs w:val="21"/>
          <w:highlight w:val="none"/>
          <w:lang w:val="en-US"/>
        </w:rPr>
        <w:t xml:space="preserve"> </w:t>
      </w:r>
      <w:r>
        <w:rPr>
          <w:rFonts w:ascii="Times New Roman" w:hAnsi="Times New Roman" w:eastAsia="宋体"/>
          <w:b/>
          <w:sz w:val="21"/>
          <w:szCs w:val="21"/>
          <w:highlight w:val="none"/>
          <w:lang w:val="en-US"/>
        </w:rPr>
        <w:t xml:space="preserve">wait for </w:t>
      </w:r>
      <w:r>
        <w:rPr>
          <w:rFonts w:hint="eastAsia" w:ascii="Times New Roman" w:hAnsi="Times New Roman" w:eastAsia="宋体"/>
          <w:b/>
          <w:sz w:val="21"/>
          <w:szCs w:val="21"/>
          <w:highlight w:val="none"/>
          <w:lang w:val="en-US"/>
        </w:rPr>
        <w:t>RAN2 to decide whether QoE reporting priority should be included in the message send from gNB to UE.</w:t>
      </w:r>
    </w:p>
    <w:p>
      <w:pPr>
        <w:rPr>
          <w:rFonts w:ascii="Times New Roman" w:hAnsi="Times New Roman"/>
          <w:highlight w:val="none"/>
          <w:lang w:val="en-US"/>
        </w:rPr>
      </w:pPr>
      <w:r>
        <w:rPr>
          <w:rFonts w:ascii="Times New Roman" w:hAnsi="Times New Roman" w:eastAsia="宋体"/>
          <w:b/>
          <w:sz w:val="21"/>
          <w:szCs w:val="21"/>
          <w:highlight w:val="none"/>
        </w:rPr>
        <w:t xml:space="preserve">Proposal </w:t>
      </w:r>
      <w:r>
        <w:rPr>
          <w:rFonts w:hint="eastAsia" w:ascii="Times New Roman" w:hAnsi="Times New Roman" w:eastAsia="宋体"/>
          <w:b/>
          <w:sz w:val="21"/>
          <w:szCs w:val="21"/>
          <w:highlight w:val="none"/>
          <w:lang w:val="en-US"/>
        </w:rPr>
        <w:t>2</w:t>
      </w:r>
      <w:r>
        <w:rPr>
          <w:rFonts w:ascii="Times New Roman" w:hAnsi="Times New Roman" w:eastAsia="宋体"/>
          <w:b/>
          <w:sz w:val="21"/>
          <w:szCs w:val="21"/>
          <w:highlight w:val="none"/>
        </w:rPr>
        <w:t xml:space="preserve">: </w:t>
      </w:r>
      <w:r>
        <w:rPr>
          <w:rFonts w:hint="eastAsia" w:ascii="Times New Roman" w:hAnsi="Times New Roman" w:eastAsia="宋体"/>
          <w:b/>
          <w:sz w:val="21"/>
          <w:szCs w:val="21"/>
          <w:highlight w:val="none"/>
          <w:lang w:val="en-US"/>
        </w:rPr>
        <w:t>RVQoE value definition can be further discussed in RAN</w:t>
      </w:r>
      <w:r>
        <w:rPr>
          <w:rFonts w:ascii="Times New Roman" w:hAnsi="Times New Roman" w:eastAsia="宋体"/>
          <w:b/>
          <w:sz w:val="21"/>
          <w:szCs w:val="21"/>
          <w:highlight w:val="none"/>
          <w:lang w:val="en-US"/>
        </w:rPr>
        <w:t>3</w:t>
      </w:r>
      <w:r>
        <w:rPr>
          <w:rFonts w:hint="eastAsia" w:ascii="Times New Roman" w:hAnsi="Times New Roman" w:eastAsia="宋体"/>
          <w:b/>
          <w:sz w:val="21"/>
          <w:szCs w:val="21"/>
          <w:highlight w:val="none"/>
          <w:lang w:val="en-US"/>
        </w:rPr>
        <w:t xml:space="preserve"> </w:t>
      </w:r>
      <w:r>
        <w:rPr>
          <w:rFonts w:ascii="Times New Roman" w:hAnsi="Times New Roman" w:eastAsia="宋体"/>
          <w:b/>
          <w:sz w:val="21"/>
          <w:szCs w:val="21"/>
          <w:highlight w:val="none"/>
          <w:lang w:val="en-US"/>
        </w:rPr>
        <w:t>and wait for</w:t>
      </w:r>
      <w:r>
        <w:rPr>
          <w:rFonts w:hint="eastAsia" w:ascii="Times New Roman" w:hAnsi="Times New Roman" w:eastAsia="宋体"/>
          <w:b/>
          <w:sz w:val="21"/>
          <w:szCs w:val="21"/>
          <w:highlight w:val="none"/>
          <w:lang w:val="en-US"/>
        </w:rPr>
        <w:t xml:space="preserve"> </w:t>
      </w:r>
      <w:r>
        <w:rPr>
          <w:rFonts w:ascii="Times New Roman" w:hAnsi="Times New Roman" w:eastAsia="宋体"/>
          <w:b/>
          <w:sz w:val="21"/>
          <w:szCs w:val="21"/>
          <w:highlight w:val="none"/>
          <w:lang w:val="en-US"/>
        </w:rPr>
        <w:t>the</w:t>
      </w:r>
      <w:r>
        <w:rPr>
          <w:rFonts w:hint="eastAsia" w:ascii="Times New Roman" w:hAnsi="Times New Roman" w:eastAsia="宋体"/>
          <w:b/>
          <w:sz w:val="21"/>
          <w:szCs w:val="21"/>
          <w:highlight w:val="none"/>
          <w:lang w:val="en-US"/>
        </w:rPr>
        <w:t xml:space="preserve"> conclusion in ITU-T SG12.</w:t>
      </w:r>
    </w:p>
    <w:p>
      <w:pPr>
        <w:rPr>
          <w:rFonts w:ascii="Times New Roman" w:hAnsi="Times New Roman" w:eastAsia="宋体"/>
          <w:b/>
          <w:sz w:val="21"/>
          <w:szCs w:val="21"/>
          <w:lang w:val="en-US"/>
        </w:rPr>
      </w:pPr>
      <w:r>
        <w:rPr>
          <w:rFonts w:ascii="Times New Roman" w:hAnsi="Times New Roman" w:eastAsia="宋体"/>
          <w:b/>
          <w:sz w:val="21"/>
          <w:szCs w:val="21"/>
        </w:rPr>
        <w:t xml:space="preserve">Proposal </w:t>
      </w:r>
      <w:r>
        <w:rPr>
          <w:rFonts w:hint="eastAsia" w:ascii="Times New Roman" w:hAnsi="Times New Roman" w:eastAsia="宋体"/>
          <w:b/>
          <w:sz w:val="21"/>
          <w:szCs w:val="21"/>
          <w:lang w:val="en-US"/>
        </w:rPr>
        <w:t>3</w:t>
      </w:r>
      <w:r>
        <w:rPr>
          <w:rFonts w:ascii="Times New Roman" w:hAnsi="Times New Roman" w:eastAsia="宋体"/>
          <w:b/>
          <w:sz w:val="21"/>
          <w:szCs w:val="21"/>
        </w:rPr>
        <w:t xml:space="preserve">: </w:t>
      </w:r>
      <w:r>
        <w:rPr>
          <w:rFonts w:hint="eastAsia" w:ascii="Times New Roman" w:hAnsi="Times New Roman" w:eastAsia="宋体"/>
          <w:b/>
          <w:sz w:val="21"/>
          <w:szCs w:val="21"/>
          <w:lang w:val="en-US"/>
        </w:rPr>
        <w:t>Whether DU should participate in the assembling of RVQoE configuration can be further discussed in RAN3.</w:t>
      </w:r>
    </w:p>
    <w:p>
      <w:pPr>
        <w:rPr>
          <w:rFonts w:ascii="Times New Roman" w:hAnsi="Times New Roman" w:eastAsia="宋体"/>
          <w:b/>
          <w:sz w:val="21"/>
          <w:szCs w:val="21"/>
          <w:lang w:val="en-US"/>
        </w:rPr>
      </w:pPr>
      <w:r>
        <w:rPr>
          <w:rFonts w:hint="eastAsia" w:ascii="Times New Roman" w:hAnsi="Times New Roman" w:eastAsia="宋体"/>
          <w:b/>
          <w:sz w:val="21"/>
          <w:szCs w:val="21"/>
          <w:lang w:val="en-US"/>
        </w:rPr>
        <w:t xml:space="preserve">Proposal 4: It is no need for DU to participate in the activation/deactivation/pause/resume of RVQoE reporting over F1. </w:t>
      </w:r>
    </w:p>
    <w:p>
      <w:pPr>
        <w:rPr>
          <w:rFonts w:ascii="Times New Roman" w:hAnsi="Times New Roman" w:eastAsia="宋体"/>
          <w:b/>
          <w:sz w:val="21"/>
          <w:szCs w:val="21"/>
          <w:lang w:val="en-US"/>
        </w:rPr>
      </w:pPr>
    </w:p>
    <w:p>
      <w:pPr>
        <w:rPr>
          <w:rFonts w:ascii="Times New Roman" w:hAnsi="Times New Roman" w:eastAsia="宋体"/>
          <w:b/>
          <w:sz w:val="21"/>
          <w:szCs w:val="21"/>
          <w:lang w:val="en-US"/>
        </w:rPr>
      </w:pPr>
    </w:p>
    <w:p>
      <w:pPr>
        <w:rPr>
          <w:rFonts w:ascii="Times New Roman" w:hAnsi="Times New Roman" w:eastAsia="宋体"/>
          <w:b/>
          <w:sz w:val="21"/>
          <w:szCs w:val="21"/>
        </w:rPr>
      </w:pPr>
    </w:p>
    <w:sectPr>
      <w:footerReference r:id="rId5" w:type="default"/>
      <w:headerReference r:id="rId4" w:type="even"/>
      <w:footnotePr>
        <w:numRestart w:val="eachSect"/>
      </w:footnotePr>
      <w:pgSz w:w="11907" w:h="16840"/>
      <w:pgMar w:top="1134" w:right="1134" w:bottom="1080"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3118918"/>
    </w:sdtPr>
    <w:sdtContent>
      <w:p>
        <w:pPr>
          <w:pStyle w:val="15"/>
        </w:pPr>
        <w:r>
          <w:fldChar w:fldCharType="begin"/>
        </w:r>
        <w:r>
          <w:instrText xml:space="preserve"> PAGE   \* MERGEFORMAT </w:instrText>
        </w:r>
        <w:r>
          <w:fldChar w:fldCharType="separate"/>
        </w:r>
        <w:r>
          <w:t>2</w:t>
        </w:r>
        <w:r>
          <w:fldChar w:fldCharType="end"/>
        </w:r>
      </w:p>
    </w:sdtContent>
  </w:sdt>
  <w:p>
    <w:pPr>
      <w:pStyle w:val="15"/>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056651AB"/>
    <w:multiLevelType w:val="multilevel"/>
    <w:tmpl w:val="056651AB"/>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AA46647"/>
    <w:multiLevelType w:val="multilevel"/>
    <w:tmpl w:val="3AA46647"/>
    <w:lvl w:ilvl="0" w:tentative="0">
      <w:start w:val="1"/>
      <w:numFmt w:val="decimal"/>
      <w:pStyle w:val="7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BDF65F6"/>
    <w:multiLevelType w:val="multilevel"/>
    <w:tmpl w:val="4BDF65F6"/>
    <w:lvl w:ilvl="0" w:tentative="0">
      <w:start w:val="1"/>
      <w:numFmt w:val="decimal"/>
      <w:pStyle w:val="6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EE279BF"/>
    <w:multiLevelType w:val="multilevel"/>
    <w:tmpl w:val="4EE279BF"/>
    <w:lvl w:ilvl="0" w:tentative="0">
      <w:start w:val="1"/>
      <w:numFmt w:val="bullet"/>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
    <w:nsid w:val="5101505E"/>
    <w:multiLevelType w:val="multilevel"/>
    <w:tmpl w:val="5101505E"/>
    <w:lvl w:ilvl="0" w:tentative="0">
      <w:start w:val="1"/>
      <w:numFmt w:val="decimal"/>
      <w:pStyle w:val="71"/>
      <w:lvlText w:val="Observation %1"/>
      <w:lvlJc w:val="left"/>
      <w:pPr>
        <w:ind w:left="360" w:hanging="360"/>
      </w:pPr>
      <w:rPr>
        <w:rFonts w:hint="default"/>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725F0211"/>
    <w:multiLevelType w:val="multilevel"/>
    <w:tmpl w:val="725F0211"/>
    <w:lvl w:ilvl="0" w:tentative="0">
      <w:start w:val="1"/>
      <w:numFmt w:val="lowerLetter"/>
      <w:lvlText w:val="%1)"/>
      <w:lvlJc w:val="left"/>
      <w:pPr>
        <w:ind w:left="1080" w:hanging="360"/>
      </w:pPr>
      <w:rPr>
        <w:rFonts w:hint="default"/>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num w:numId="1">
    <w:abstractNumId w:val="0"/>
  </w:num>
  <w:num w:numId="2">
    <w:abstractNumId w:val="3"/>
  </w:num>
  <w:num w:numId="3">
    <w:abstractNumId w:val="2"/>
  </w:num>
  <w:num w:numId="4">
    <w:abstractNumId w:val="5"/>
  </w:num>
  <w:num w:numId="5">
    <w:abstractNumId w:val="1"/>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ocumentProtection w:enforcement="0"/>
  <w:defaultTabStop w:val="1304"/>
  <w:hyphenationZone w:val="425"/>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2B4"/>
    <w:rsid w:val="000002EA"/>
    <w:rsid w:val="0000031F"/>
    <w:rsid w:val="00000D94"/>
    <w:rsid w:val="00001D9F"/>
    <w:rsid w:val="00002615"/>
    <w:rsid w:val="00002885"/>
    <w:rsid w:val="00003172"/>
    <w:rsid w:val="000034E5"/>
    <w:rsid w:val="00003C11"/>
    <w:rsid w:val="000041A0"/>
    <w:rsid w:val="00004A9F"/>
    <w:rsid w:val="00006C0C"/>
    <w:rsid w:val="000071CD"/>
    <w:rsid w:val="00007711"/>
    <w:rsid w:val="00010607"/>
    <w:rsid w:val="0001107D"/>
    <w:rsid w:val="000114C1"/>
    <w:rsid w:val="00011672"/>
    <w:rsid w:val="0001173E"/>
    <w:rsid w:val="00011D06"/>
    <w:rsid w:val="00011D26"/>
    <w:rsid w:val="0001271C"/>
    <w:rsid w:val="00013DDF"/>
    <w:rsid w:val="000145E4"/>
    <w:rsid w:val="00014D26"/>
    <w:rsid w:val="00014E15"/>
    <w:rsid w:val="0001558C"/>
    <w:rsid w:val="0001563F"/>
    <w:rsid w:val="000175D4"/>
    <w:rsid w:val="00017604"/>
    <w:rsid w:val="00021028"/>
    <w:rsid w:val="0002175C"/>
    <w:rsid w:val="00021E13"/>
    <w:rsid w:val="00021FF3"/>
    <w:rsid w:val="00022241"/>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799"/>
    <w:rsid w:val="00031859"/>
    <w:rsid w:val="0003387D"/>
    <w:rsid w:val="00033D0C"/>
    <w:rsid w:val="00034106"/>
    <w:rsid w:val="0003527D"/>
    <w:rsid w:val="000353D5"/>
    <w:rsid w:val="00035C3A"/>
    <w:rsid w:val="00035DD7"/>
    <w:rsid w:val="00035ED7"/>
    <w:rsid w:val="00035F58"/>
    <w:rsid w:val="00036135"/>
    <w:rsid w:val="000361BC"/>
    <w:rsid w:val="0003737E"/>
    <w:rsid w:val="000374EE"/>
    <w:rsid w:val="00037AF0"/>
    <w:rsid w:val="00040162"/>
    <w:rsid w:val="00040306"/>
    <w:rsid w:val="00040A07"/>
    <w:rsid w:val="00041933"/>
    <w:rsid w:val="00042A0A"/>
    <w:rsid w:val="00043493"/>
    <w:rsid w:val="00043B53"/>
    <w:rsid w:val="000445C8"/>
    <w:rsid w:val="00045276"/>
    <w:rsid w:val="00045336"/>
    <w:rsid w:val="0004603B"/>
    <w:rsid w:val="00046A55"/>
    <w:rsid w:val="00046B26"/>
    <w:rsid w:val="00046FD2"/>
    <w:rsid w:val="000474A3"/>
    <w:rsid w:val="000478D4"/>
    <w:rsid w:val="00050158"/>
    <w:rsid w:val="000507EA"/>
    <w:rsid w:val="00050DAE"/>
    <w:rsid w:val="00050EC6"/>
    <w:rsid w:val="000513DB"/>
    <w:rsid w:val="00051400"/>
    <w:rsid w:val="0005150F"/>
    <w:rsid w:val="00051E63"/>
    <w:rsid w:val="00051F20"/>
    <w:rsid w:val="00052188"/>
    <w:rsid w:val="000524AE"/>
    <w:rsid w:val="000539EB"/>
    <w:rsid w:val="00054172"/>
    <w:rsid w:val="00054CA4"/>
    <w:rsid w:val="00054D87"/>
    <w:rsid w:val="0005508E"/>
    <w:rsid w:val="00055631"/>
    <w:rsid w:val="00055694"/>
    <w:rsid w:val="000557E4"/>
    <w:rsid w:val="00056CA4"/>
    <w:rsid w:val="00056EF1"/>
    <w:rsid w:val="000571E0"/>
    <w:rsid w:val="00057EA8"/>
    <w:rsid w:val="00057FC9"/>
    <w:rsid w:val="0006000A"/>
    <w:rsid w:val="0006049E"/>
    <w:rsid w:val="00060C48"/>
    <w:rsid w:val="00060D8A"/>
    <w:rsid w:val="00061278"/>
    <w:rsid w:val="000615B2"/>
    <w:rsid w:val="0006169E"/>
    <w:rsid w:val="00061B84"/>
    <w:rsid w:val="00061F10"/>
    <w:rsid w:val="0006293B"/>
    <w:rsid w:val="00062970"/>
    <w:rsid w:val="0006314E"/>
    <w:rsid w:val="000643BC"/>
    <w:rsid w:val="000643FD"/>
    <w:rsid w:val="000649F5"/>
    <w:rsid w:val="00064F0A"/>
    <w:rsid w:val="00066E7B"/>
    <w:rsid w:val="000676E8"/>
    <w:rsid w:val="000679E8"/>
    <w:rsid w:val="00067C16"/>
    <w:rsid w:val="0007010A"/>
    <w:rsid w:val="00070255"/>
    <w:rsid w:val="000702F3"/>
    <w:rsid w:val="00070ADB"/>
    <w:rsid w:val="00070ED5"/>
    <w:rsid w:val="00070FA5"/>
    <w:rsid w:val="000714CA"/>
    <w:rsid w:val="0007153C"/>
    <w:rsid w:val="000718E7"/>
    <w:rsid w:val="00071F84"/>
    <w:rsid w:val="00072187"/>
    <w:rsid w:val="000722C8"/>
    <w:rsid w:val="00072CC0"/>
    <w:rsid w:val="000731AC"/>
    <w:rsid w:val="00073290"/>
    <w:rsid w:val="0007378B"/>
    <w:rsid w:val="000747FA"/>
    <w:rsid w:val="000754FF"/>
    <w:rsid w:val="00075D1E"/>
    <w:rsid w:val="00076199"/>
    <w:rsid w:val="0007673A"/>
    <w:rsid w:val="0007689B"/>
    <w:rsid w:val="00077E1A"/>
    <w:rsid w:val="00077E6C"/>
    <w:rsid w:val="00080B5B"/>
    <w:rsid w:val="00080FB5"/>
    <w:rsid w:val="000813A1"/>
    <w:rsid w:val="0008167C"/>
    <w:rsid w:val="00081803"/>
    <w:rsid w:val="00081D9B"/>
    <w:rsid w:val="000825DE"/>
    <w:rsid w:val="0008280C"/>
    <w:rsid w:val="0008290F"/>
    <w:rsid w:val="00082C71"/>
    <w:rsid w:val="00082D3C"/>
    <w:rsid w:val="000832FA"/>
    <w:rsid w:val="00083679"/>
    <w:rsid w:val="00083A92"/>
    <w:rsid w:val="000842D2"/>
    <w:rsid w:val="00084A3B"/>
    <w:rsid w:val="00084AA2"/>
    <w:rsid w:val="00084C5D"/>
    <w:rsid w:val="000851B8"/>
    <w:rsid w:val="00085569"/>
    <w:rsid w:val="00085F37"/>
    <w:rsid w:val="000862CC"/>
    <w:rsid w:val="00086AFC"/>
    <w:rsid w:val="00087599"/>
    <w:rsid w:val="00090E9A"/>
    <w:rsid w:val="00090EF0"/>
    <w:rsid w:val="000914C2"/>
    <w:rsid w:val="00091683"/>
    <w:rsid w:val="00091A4B"/>
    <w:rsid w:val="00091D87"/>
    <w:rsid w:val="00091E5A"/>
    <w:rsid w:val="00092167"/>
    <w:rsid w:val="000921BB"/>
    <w:rsid w:val="00092693"/>
    <w:rsid w:val="00092B3B"/>
    <w:rsid w:val="00092ED8"/>
    <w:rsid w:val="000937FA"/>
    <w:rsid w:val="00094313"/>
    <w:rsid w:val="000950A2"/>
    <w:rsid w:val="000950EA"/>
    <w:rsid w:val="00096587"/>
    <w:rsid w:val="000968CB"/>
    <w:rsid w:val="00096B05"/>
    <w:rsid w:val="00096FD7"/>
    <w:rsid w:val="00097489"/>
    <w:rsid w:val="00097EE9"/>
    <w:rsid w:val="000A05EE"/>
    <w:rsid w:val="000A0A04"/>
    <w:rsid w:val="000A0FD0"/>
    <w:rsid w:val="000A1928"/>
    <w:rsid w:val="000A1FDE"/>
    <w:rsid w:val="000A20E0"/>
    <w:rsid w:val="000A223D"/>
    <w:rsid w:val="000A27D7"/>
    <w:rsid w:val="000A292B"/>
    <w:rsid w:val="000A2C2E"/>
    <w:rsid w:val="000A30B1"/>
    <w:rsid w:val="000A346B"/>
    <w:rsid w:val="000A3615"/>
    <w:rsid w:val="000A4319"/>
    <w:rsid w:val="000A49AD"/>
    <w:rsid w:val="000A4C21"/>
    <w:rsid w:val="000A5322"/>
    <w:rsid w:val="000A53E4"/>
    <w:rsid w:val="000A6397"/>
    <w:rsid w:val="000A6946"/>
    <w:rsid w:val="000A78DA"/>
    <w:rsid w:val="000B0147"/>
    <w:rsid w:val="000B0629"/>
    <w:rsid w:val="000B06F4"/>
    <w:rsid w:val="000B0717"/>
    <w:rsid w:val="000B0F47"/>
    <w:rsid w:val="000B1AFB"/>
    <w:rsid w:val="000B1B37"/>
    <w:rsid w:val="000B1D81"/>
    <w:rsid w:val="000B2481"/>
    <w:rsid w:val="000B2754"/>
    <w:rsid w:val="000B311C"/>
    <w:rsid w:val="000B3B91"/>
    <w:rsid w:val="000B4DE3"/>
    <w:rsid w:val="000B4F6C"/>
    <w:rsid w:val="000B5B21"/>
    <w:rsid w:val="000B5FBB"/>
    <w:rsid w:val="000B6897"/>
    <w:rsid w:val="000B6DC0"/>
    <w:rsid w:val="000B756A"/>
    <w:rsid w:val="000B773C"/>
    <w:rsid w:val="000B7745"/>
    <w:rsid w:val="000B77A9"/>
    <w:rsid w:val="000C064D"/>
    <w:rsid w:val="000C0686"/>
    <w:rsid w:val="000C18CF"/>
    <w:rsid w:val="000C2360"/>
    <w:rsid w:val="000C23BF"/>
    <w:rsid w:val="000C286B"/>
    <w:rsid w:val="000C2FDF"/>
    <w:rsid w:val="000C4026"/>
    <w:rsid w:val="000C4049"/>
    <w:rsid w:val="000C4B33"/>
    <w:rsid w:val="000C5797"/>
    <w:rsid w:val="000C5B93"/>
    <w:rsid w:val="000C6688"/>
    <w:rsid w:val="000C7040"/>
    <w:rsid w:val="000C7419"/>
    <w:rsid w:val="000C779F"/>
    <w:rsid w:val="000D094E"/>
    <w:rsid w:val="000D172E"/>
    <w:rsid w:val="000D1E06"/>
    <w:rsid w:val="000D2D0C"/>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63A7"/>
    <w:rsid w:val="000E6855"/>
    <w:rsid w:val="000E6C66"/>
    <w:rsid w:val="000E7694"/>
    <w:rsid w:val="000E7D39"/>
    <w:rsid w:val="000F04F2"/>
    <w:rsid w:val="000F0DA6"/>
    <w:rsid w:val="000F13E7"/>
    <w:rsid w:val="000F1D60"/>
    <w:rsid w:val="000F2D6E"/>
    <w:rsid w:val="000F4305"/>
    <w:rsid w:val="000F45BA"/>
    <w:rsid w:val="000F5194"/>
    <w:rsid w:val="000F5424"/>
    <w:rsid w:val="000F5B5B"/>
    <w:rsid w:val="000F609D"/>
    <w:rsid w:val="000F6249"/>
    <w:rsid w:val="000F6371"/>
    <w:rsid w:val="000F6A22"/>
    <w:rsid w:val="000F6D61"/>
    <w:rsid w:val="000F715F"/>
    <w:rsid w:val="000F725C"/>
    <w:rsid w:val="000F7921"/>
    <w:rsid w:val="000F79EE"/>
    <w:rsid w:val="000F7B1F"/>
    <w:rsid w:val="000F7EC0"/>
    <w:rsid w:val="00100069"/>
    <w:rsid w:val="0010011D"/>
    <w:rsid w:val="00100706"/>
    <w:rsid w:val="0010137F"/>
    <w:rsid w:val="001014CF"/>
    <w:rsid w:val="00101CD8"/>
    <w:rsid w:val="00101E4B"/>
    <w:rsid w:val="0010302A"/>
    <w:rsid w:val="00103694"/>
    <w:rsid w:val="0010379B"/>
    <w:rsid w:val="0010394F"/>
    <w:rsid w:val="00103D71"/>
    <w:rsid w:val="0010443B"/>
    <w:rsid w:val="00105F87"/>
    <w:rsid w:val="001071F3"/>
    <w:rsid w:val="001077AC"/>
    <w:rsid w:val="00110194"/>
    <w:rsid w:val="00110AC2"/>
    <w:rsid w:val="00110F86"/>
    <w:rsid w:val="00111755"/>
    <w:rsid w:val="00112950"/>
    <w:rsid w:val="00112D99"/>
    <w:rsid w:val="001146B3"/>
    <w:rsid w:val="00114ABC"/>
    <w:rsid w:val="00114F3B"/>
    <w:rsid w:val="0011520C"/>
    <w:rsid w:val="0011538F"/>
    <w:rsid w:val="00115B4A"/>
    <w:rsid w:val="00115DD2"/>
    <w:rsid w:val="0011766A"/>
    <w:rsid w:val="00117B72"/>
    <w:rsid w:val="00117C9D"/>
    <w:rsid w:val="00120771"/>
    <w:rsid w:val="001209C8"/>
    <w:rsid w:val="00121391"/>
    <w:rsid w:val="00121702"/>
    <w:rsid w:val="001218EC"/>
    <w:rsid w:val="00122CC0"/>
    <w:rsid w:val="00122D72"/>
    <w:rsid w:val="00122DCE"/>
    <w:rsid w:val="00123083"/>
    <w:rsid w:val="00123107"/>
    <w:rsid w:val="001232BB"/>
    <w:rsid w:val="001239E4"/>
    <w:rsid w:val="00124862"/>
    <w:rsid w:val="00124D5C"/>
    <w:rsid w:val="001254B5"/>
    <w:rsid w:val="00125629"/>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6F19"/>
    <w:rsid w:val="00137318"/>
    <w:rsid w:val="001377EF"/>
    <w:rsid w:val="00137BF1"/>
    <w:rsid w:val="0014056B"/>
    <w:rsid w:val="00140F34"/>
    <w:rsid w:val="00141DC9"/>
    <w:rsid w:val="001427F8"/>
    <w:rsid w:val="00142F76"/>
    <w:rsid w:val="001434EC"/>
    <w:rsid w:val="00143937"/>
    <w:rsid w:val="00143AE7"/>
    <w:rsid w:val="00144702"/>
    <w:rsid w:val="00144C7F"/>
    <w:rsid w:val="00144F9B"/>
    <w:rsid w:val="00146757"/>
    <w:rsid w:val="00146846"/>
    <w:rsid w:val="00147343"/>
    <w:rsid w:val="00147C08"/>
    <w:rsid w:val="001500FB"/>
    <w:rsid w:val="001506A7"/>
    <w:rsid w:val="00150A9E"/>
    <w:rsid w:val="001514E3"/>
    <w:rsid w:val="00151BFE"/>
    <w:rsid w:val="0015232D"/>
    <w:rsid w:val="0015245D"/>
    <w:rsid w:val="00152D6E"/>
    <w:rsid w:val="0015364E"/>
    <w:rsid w:val="00153F23"/>
    <w:rsid w:val="00154009"/>
    <w:rsid w:val="001543E6"/>
    <w:rsid w:val="001548D7"/>
    <w:rsid w:val="00154C94"/>
    <w:rsid w:val="001552DB"/>
    <w:rsid w:val="001556EC"/>
    <w:rsid w:val="001559B0"/>
    <w:rsid w:val="00156182"/>
    <w:rsid w:val="001567CE"/>
    <w:rsid w:val="00156E5F"/>
    <w:rsid w:val="00156F3B"/>
    <w:rsid w:val="0015797F"/>
    <w:rsid w:val="00160AB7"/>
    <w:rsid w:val="00161843"/>
    <w:rsid w:val="00161A5E"/>
    <w:rsid w:val="00162261"/>
    <w:rsid w:val="001622A7"/>
    <w:rsid w:val="00162B8A"/>
    <w:rsid w:val="00163552"/>
    <w:rsid w:val="00166D01"/>
    <w:rsid w:val="001676F2"/>
    <w:rsid w:val="0016787D"/>
    <w:rsid w:val="00167C07"/>
    <w:rsid w:val="001704DE"/>
    <w:rsid w:val="00171019"/>
    <w:rsid w:val="001713EA"/>
    <w:rsid w:val="001715D5"/>
    <w:rsid w:val="001718F2"/>
    <w:rsid w:val="00171D2C"/>
    <w:rsid w:val="00172511"/>
    <w:rsid w:val="00172E27"/>
    <w:rsid w:val="00173ABC"/>
    <w:rsid w:val="00173EC7"/>
    <w:rsid w:val="00174210"/>
    <w:rsid w:val="00174BE1"/>
    <w:rsid w:val="00175027"/>
    <w:rsid w:val="00175427"/>
    <w:rsid w:val="00175EDA"/>
    <w:rsid w:val="00176CBC"/>
    <w:rsid w:val="00176F48"/>
    <w:rsid w:val="00176FB7"/>
    <w:rsid w:val="001810F8"/>
    <w:rsid w:val="00181488"/>
    <w:rsid w:val="00181CAA"/>
    <w:rsid w:val="00181CDB"/>
    <w:rsid w:val="00181D6A"/>
    <w:rsid w:val="00182088"/>
    <w:rsid w:val="0018245F"/>
    <w:rsid w:val="00182DE4"/>
    <w:rsid w:val="001832F7"/>
    <w:rsid w:val="00183D68"/>
    <w:rsid w:val="00183E87"/>
    <w:rsid w:val="00183F0E"/>
    <w:rsid w:val="0018415D"/>
    <w:rsid w:val="00184EB1"/>
    <w:rsid w:val="00186FDF"/>
    <w:rsid w:val="00187A5B"/>
    <w:rsid w:val="0019015D"/>
    <w:rsid w:val="00190542"/>
    <w:rsid w:val="00190747"/>
    <w:rsid w:val="00190C01"/>
    <w:rsid w:val="00190D21"/>
    <w:rsid w:val="00191653"/>
    <w:rsid w:val="00191B47"/>
    <w:rsid w:val="00191F65"/>
    <w:rsid w:val="00192091"/>
    <w:rsid w:val="0019236F"/>
    <w:rsid w:val="00192D78"/>
    <w:rsid w:val="00193674"/>
    <w:rsid w:val="00193A31"/>
    <w:rsid w:val="00194961"/>
    <w:rsid w:val="00195473"/>
    <w:rsid w:val="00195BC5"/>
    <w:rsid w:val="00195E06"/>
    <w:rsid w:val="00195E31"/>
    <w:rsid w:val="00195E56"/>
    <w:rsid w:val="0019647D"/>
    <w:rsid w:val="001968A1"/>
    <w:rsid w:val="00196920"/>
    <w:rsid w:val="00196D2F"/>
    <w:rsid w:val="001A0488"/>
    <w:rsid w:val="001A05FE"/>
    <w:rsid w:val="001A17AE"/>
    <w:rsid w:val="001A24F1"/>
    <w:rsid w:val="001A2A6E"/>
    <w:rsid w:val="001A3134"/>
    <w:rsid w:val="001A36E7"/>
    <w:rsid w:val="001A3B0E"/>
    <w:rsid w:val="001A414D"/>
    <w:rsid w:val="001A49A3"/>
    <w:rsid w:val="001A4A72"/>
    <w:rsid w:val="001A4CEA"/>
    <w:rsid w:val="001A58CB"/>
    <w:rsid w:val="001A6ED9"/>
    <w:rsid w:val="001A6F9D"/>
    <w:rsid w:val="001B04F1"/>
    <w:rsid w:val="001B05E3"/>
    <w:rsid w:val="001B0949"/>
    <w:rsid w:val="001B0B98"/>
    <w:rsid w:val="001B0CCA"/>
    <w:rsid w:val="001B1571"/>
    <w:rsid w:val="001B18B9"/>
    <w:rsid w:val="001B1AF0"/>
    <w:rsid w:val="001B1B3F"/>
    <w:rsid w:val="001B1C36"/>
    <w:rsid w:val="001B31B6"/>
    <w:rsid w:val="001B353B"/>
    <w:rsid w:val="001B47BA"/>
    <w:rsid w:val="001B48D0"/>
    <w:rsid w:val="001B4BBF"/>
    <w:rsid w:val="001B593C"/>
    <w:rsid w:val="001B66CC"/>
    <w:rsid w:val="001B6F05"/>
    <w:rsid w:val="001B70B0"/>
    <w:rsid w:val="001B7E02"/>
    <w:rsid w:val="001C027F"/>
    <w:rsid w:val="001C0A3D"/>
    <w:rsid w:val="001C0AE7"/>
    <w:rsid w:val="001C1255"/>
    <w:rsid w:val="001C3696"/>
    <w:rsid w:val="001C3B1F"/>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19FE"/>
    <w:rsid w:val="001D3483"/>
    <w:rsid w:val="001D3A28"/>
    <w:rsid w:val="001D3FB8"/>
    <w:rsid w:val="001D4393"/>
    <w:rsid w:val="001D44B8"/>
    <w:rsid w:val="001D4B78"/>
    <w:rsid w:val="001D4D7B"/>
    <w:rsid w:val="001D4F35"/>
    <w:rsid w:val="001D5F99"/>
    <w:rsid w:val="001D6199"/>
    <w:rsid w:val="001D6930"/>
    <w:rsid w:val="001D6DB4"/>
    <w:rsid w:val="001D7134"/>
    <w:rsid w:val="001D7A88"/>
    <w:rsid w:val="001D7DCD"/>
    <w:rsid w:val="001D7E7F"/>
    <w:rsid w:val="001D7E88"/>
    <w:rsid w:val="001E0C94"/>
    <w:rsid w:val="001E1886"/>
    <w:rsid w:val="001E2185"/>
    <w:rsid w:val="001E3548"/>
    <w:rsid w:val="001E391C"/>
    <w:rsid w:val="001E4D28"/>
    <w:rsid w:val="001E50A0"/>
    <w:rsid w:val="001E557D"/>
    <w:rsid w:val="001E5B09"/>
    <w:rsid w:val="001E6694"/>
    <w:rsid w:val="001E6BA3"/>
    <w:rsid w:val="001E6E19"/>
    <w:rsid w:val="001E704F"/>
    <w:rsid w:val="001E742B"/>
    <w:rsid w:val="001E7C03"/>
    <w:rsid w:val="001F00FB"/>
    <w:rsid w:val="001F0571"/>
    <w:rsid w:val="001F0885"/>
    <w:rsid w:val="001F0B02"/>
    <w:rsid w:val="001F0B8B"/>
    <w:rsid w:val="001F1434"/>
    <w:rsid w:val="001F1577"/>
    <w:rsid w:val="001F1677"/>
    <w:rsid w:val="001F1A9E"/>
    <w:rsid w:val="001F2591"/>
    <w:rsid w:val="001F2A05"/>
    <w:rsid w:val="001F3CBC"/>
    <w:rsid w:val="001F440D"/>
    <w:rsid w:val="001F4E09"/>
    <w:rsid w:val="001F4EEE"/>
    <w:rsid w:val="001F5937"/>
    <w:rsid w:val="001F70E8"/>
    <w:rsid w:val="001F751B"/>
    <w:rsid w:val="001F7559"/>
    <w:rsid w:val="001F7731"/>
    <w:rsid w:val="00200174"/>
    <w:rsid w:val="0020031F"/>
    <w:rsid w:val="002007CA"/>
    <w:rsid w:val="0020083D"/>
    <w:rsid w:val="0020086A"/>
    <w:rsid w:val="00200C31"/>
    <w:rsid w:val="00200E21"/>
    <w:rsid w:val="00201090"/>
    <w:rsid w:val="002010E2"/>
    <w:rsid w:val="00202288"/>
    <w:rsid w:val="00202B8B"/>
    <w:rsid w:val="00202DA6"/>
    <w:rsid w:val="0020349A"/>
    <w:rsid w:val="00204731"/>
    <w:rsid w:val="00204884"/>
    <w:rsid w:val="00204F85"/>
    <w:rsid w:val="002054BD"/>
    <w:rsid w:val="00205FDC"/>
    <w:rsid w:val="00207734"/>
    <w:rsid w:val="00207A51"/>
    <w:rsid w:val="0021011B"/>
    <w:rsid w:val="00210172"/>
    <w:rsid w:val="00210438"/>
    <w:rsid w:val="002104C5"/>
    <w:rsid w:val="00210BAD"/>
    <w:rsid w:val="002119FE"/>
    <w:rsid w:val="002124DD"/>
    <w:rsid w:val="002124E6"/>
    <w:rsid w:val="0021330B"/>
    <w:rsid w:val="002138DD"/>
    <w:rsid w:val="0021427C"/>
    <w:rsid w:val="002147E2"/>
    <w:rsid w:val="00214AC3"/>
    <w:rsid w:val="00214BEA"/>
    <w:rsid w:val="00215280"/>
    <w:rsid w:val="002158C6"/>
    <w:rsid w:val="002159F2"/>
    <w:rsid w:val="00215E31"/>
    <w:rsid w:val="00216373"/>
    <w:rsid w:val="0021645B"/>
    <w:rsid w:val="002166BB"/>
    <w:rsid w:val="002167B0"/>
    <w:rsid w:val="0021686A"/>
    <w:rsid w:val="002208B9"/>
    <w:rsid w:val="00221981"/>
    <w:rsid w:val="0022230C"/>
    <w:rsid w:val="002225FE"/>
    <w:rsid w:val="00222943"/>
    <w:rsid w:val="00223167"/>
    <w:rsid w:val="00223B13"/>
    <w:rsid w:val="002240E0"/>
    <w:rsid w:val="00224C54"/>
    <w:rsid w:val="00225226"/>
    <w:rsid w:val="00225411"/>
    <w:rsid w:val="002265D3"/>
    <w:rsid w:val="00226C09"/>
    <w:rsid w:val="00226E16"/>
    <w:rsid w:val="00226F6D"/>
    <w:rsid w:val="00226FC4"/>
    <w:rsid w:val="00227394"/>
    <w:rsid w:val="00227429"/>
    <w:rsid w:val="002275AB"/>
    <w:rsid w:val="00230204"/>
    <w:rsid w:val="00230AB6"/>
    <w:rsid w:val="002317F8"/>
    <w:rsid w:val="00231AA1"/>
    <w:rsid w:val="00232184"/>
    <w:rsid w:val="0023238C"/>
    <w:rsid w:val="00232BD5"/>
    <w:rsid w:val="002331FC"/>
    <w:rsid w:val="00233BAC"/>
    <w:rsid w:val="00233C98"/>
    <w:rsid w:val="00233EDA"/>
    <w:rsid w:val="00234221"/>
    <w:rsid w:val="00234456"/>
    <w:rsid w:val="00234C25"/>
    <w:rsid w:val="00235CAE"/>
    <w:rsid w:val="0023604E"/>
    <w:rsid w:val="002368DD"/>
    <w:rsid w:val="00236BFE"/>
    <w:rsid w:val="00236EC8"/>
    <w:rsid w:val="002370D5"/>
    <w:rsid w:val="002370EA"/>
    <w:rsid w:val="0024074B"/>
    <w:rsid w:val="00240D3C"/>
    <w:rsid w:val="00240F65"/>
    <w:rsid w:val="002436BB"/>
    <w:rsid w:val="002437CA"/>
    <w:rsid w:val="00243E7F"/>
    <w:rsid w:val="00244605"/>
    <w:rsid w:val="00244A76"/>
    <w:rsid w:val="0024500A"/>
    <w:rsid w:val="00245B41"/>
    <w:rsid w:val="002466BA"/>
    <w:rsid w:val="002468C8"/>
    <w:rsid w:val="0024773A"/>
    <w:rsid w:val="00247ED5"/>
    <w:rsid w:val="002507B5"/>
    <w:rsid w:val="00250E65"/>
    <w:rsid w:val="002510FB"/>
    <w:rsid w:val="0025195F"/>
    <w:rsid w:val="00251B6A"/>
    <w:rsid w:val="00251C0A"/>
    <w:rsid w:val="002521D9"/>
    <w:rsid w:val="00252E2A"/>
    <w:rsid w:val="00252FE9"/>
    <w:rsid w:val="00253082"/>
    <w:rsid w:val="00253495"/>
    <w:rsid w:val="00254565"/>
    <w:rsid w:val="00254AC0"/>
    <w:rsid w:val="00254AF5"/>
    <w:rsid w:val="0025525C"/>
    <w:rsid w:val="002556B9"/>
    <w:rsid w:val="002558A2"/>
    <w:rsid w:val="00256877"/>
    <w:rsid w:val="00256E17"/>
    <w:rsid w:val="00257344"/>
    <w:rsid w:val="00257A1A"/>
    <w:rsid w:val="00260CD4"/>
    <w:rsid w:val="00261598"/>
    <w:rsid w:val="0026181D"/>
    <w:rsid w:val="00263615"/>
    <w:rsid w:val="002653CB"/>
    <w:rsid w:val="00266563"/>
    <w:rsid w:val="00266618"/>
    <w:rsid w:val="00267554"/>
    <w:rsid w:val="00267797"/>
    <w:rsid w:val="00267831"/>
    <w:rsid w:val="0027050E"/>
    <w:rsid w:val="00270BFC"/>
    <w:rsid w:val="00270CA8"/>
    <w:rsid w:val="00270CE6"/>
    <w:rsid w:val="002717EB"/>
    <w:rsid w:val="00271E5A"/>
    <w:rsid w:val="00271E94"/>
    <w:rsid w:val="00271F55"/>
    <w:rsid w:val="002722FC"/>
    <w:rsid w:val="00273423"/>
    <w:rsid w:val="002738CA"/>
    <w:rsid w:val="00273A87"/>
    <w:rsid w:val="00273B3C"/>
    <w:rsid w:val="00273DCB"/>
    <w:rsid w:val="002748A2"/>
    <w:rsid w:val="00274F45"/>
    <w:rsid w:val="00276D0A"/>
    <w:rsid w:val="002778F6"/>
    <w:rsid w:val="00277FB8"/>
    <w:rsid w:val="00280067"/>
    <w:rsid w:val="00280675"/>
    <w:rsid w:val="00281535"/>
    <w:rsid w:val="002818AA"/>
    <w:rsid w:val="00281C7D"/>
    <w:rsid w:val="00282159"/>
    <w:rsid w:val="002829FB"/>
    <w:rsid w:val="002833BE"/>
    <w:rsid w:val="00283753"/>
    <w:rsid w:val="00284693"/>
    <w:rsid w:val="002849B3"/>
    <w:rsid w:val="002862D2"/>
    <w:rsid w:val="002867D5"/>
    <w:rsid w:val="00286A26"/>
    <w:rsid w:val="00286CC8"/>
    <w:rsid w:val="00286EC0"/>
    <w:rsid w:val="0028726B"/>
    <w:rsid w:val="002876AC"/>
    <w:rsid w:val="00287835"/>
    <w:rsid w:val="002879F3"/>
    <w:rsid w:val="002905DC"/>
    <w:rsid w:val="00291D09"/>
    <w:rsid w:val="00291F3D"/>
    <w:rsid w:val="00292272"/>
    <w:rsid w:val="00293931"/>
    <w:rsid w:val="00293D4F"/>
    <w:rsid w:val="002947EC"/>
    <w:rsid w:val="002960CF"/>
    <w:rsid w:val="002966B8"/>
    <w:rsid w:val="002972F3"/>
    <w:rsid w:val="002A0292"/>
    <w:rsid w:val="002A03CB"/>
    <w:rsid w:val="002A062A"/>
    <w:rsid w:val="002A09CE"/>
    <w:rsid w:val="002A0D12"/>
    <w:rsid w:val="002A0EAE"/>
    <w:rsid w:val="002A26D2"/>
    <w:rsid w:val="002A2B5D"/>
    <w:rsid w:val="002A30AB"/>
    <w:rsid w:val="002A42DF"/>
    <w:rsid w:val="002A49B9"/>
    <w:rsid w:val="002A49E4"/>
    <w:rsid w:val="002A4D94"/>
    <w:rsid w:val="002A4F1D"/>
    <w:rsid w:val="002A52B1"/>
    <w:rsid w:val="002A58B0"/>
    <w:rsid w:val="002A5E58"/>
    <w:rsid w:val="002A5E67"/>
    <w:rsid w:val="002A65D8"/>
    <w:rsid w:val="002A67CE"/>
    <w:rsid w:val="002A76A1"/>
    <w:rsid w:val="002A7D14"/>
    <w:rsid w:val="002B0063"/>
    <w:rsid w:val="002B0AE3"/>
    <w:rsid w:val="002B0B92"/>
    <w:rsid w:val="002B1963"/>
    <w:rsid w:val="002B1F99"/>
    <w:rsid w:val="002B2CB8"/>
    <w:rsid w:val="002B2E0C"/>
    <w:rsid w:val="002B3110"/>
    <w:rsid w:val="002B39DA"/>
    <w:rsid w:val="002B3ECA"/>
    <w:rsid w:val="002B3F0F"/>
    <w:rsid w:val="002B421E"/>
    <w:rsid w:val="002B44A1"/>
    <w:rsid w:val="002B4A50"/>
    <w:rsid w:val="002B4ACB"/>
    <w:rsid w:val="002B56BA"/>
    <w:rsid w:val="002B5718"/>
    <w:rsid w:val="002B5BB3"/>
    <w:rsid w:val="002B632E"/>
    <w:rsid w:val="002B634A"/>
    <w:rsid w:val="002B6768"/>
    <w:rsid w:val="002C08E6"/>
    <w:rsid w:val="002C1838"/>
    <w:rsid w:val="002C2041"/>
    <w:rsid w:val="002C25F1"/>
    <w:rsid w:val="002C279D"/>
    <w:rsid w:val="002C41B3"/>
    <w:rsid w:val="002C4E20"/>
    <w:rsid w:val="002C6519"/>
    <w:rsid w:val="002D0BFB"/>
    <w:rsid w:val="002D1CBE"/>
    <w:rsid w:val="002D1D4E"/>
    <w:rsid w:val="002D1E42"/>
    <w:rsid w:val="002D273F"/>
    <w:rsid w:val="002D2745"/>
    <w:rsid w:val="002D30CF"/>
    <w:rsid w:val="002D508E"/>
    <w:rsid w:val="002D5219"/>
    <w:rsid w:val="002D57AF"/>
    <w:rsid w:val="002D6345"/>
    <w:rsid w:val="002D68BB"/>
    <w:rsid w:val="002D7743"/>
    <w:rsid w:val="002E028F"/>
    <w:rsid w:val="002E191A"/>
    <w:rsid w:val="002E1FF9"/>
    <w:rsid w:val="002E2267"/>
    <w:rsid w:val="002E2314"/>
    <w:rsid w:val="002E264F"/>
    <w:rsid w:val="002E3189"/>
    <w:rsid w:val="002E3794"/>
    <w:rsid w:val="002E3C35"/>
    <w:rsid w:val="002E461A"/>
    <w:rsid w:val="002E5677"/>
    <w:rsid w:val="002E665E"/>
    <w:rsid w:val="002E6D71"/>
    <w:rsid w:val="002E709F"/>
    <w:rsid w:val="002E71C2"/>
    <w:rsid w:val="002E73EB"/>
    <w:rsid w:val="002E7884"/>
    <w:rsid w:val="002E7A49"/>
    <w:rsid w:val="002E7E93"/>
    <w:rsid w:val="002F034D"/>
    <w:rsid w:val="002F0B6E"/>
    <w:rsid w:val="002F0D69"/>
    <w:rsid w:val="002F1298"/>
    <w:rsid w:val="002F13AE"/>
    <w:rsid w:val="002F15C6"/>
    <w:rsid w:val="002F1970"/>
    <w:rsid w:val="002F1F7A"/>
    <w:rsid w:val="002F211D"/>
    <w:rsid w:val="002F2293"/>
    <w:rsid w:val="002F288D"/>
    <w:rsid w:val="002F296B"/>
    <w:rsid w:val="002F2B51"/>
    <w:rsid w:val="002F2D53"/>
    <w:rsid w:val="002F4529"/>
    <w:rsid w:val="002F45C3"/>
    <w:rsid w:val="002F49C7"/>
    <w:rsid w:val="002F4FE2"/>
    <w:rsid w:val="002F5EBA"/>
    <w:rsid w:val="002F7B14"/>
    <w:rsid w:val="00300042"/>
    <w:rsid w:val="00300516"/>
    <w:rsid w:val="00300E08"/>
    <w:rsid w:val="00301547"/>
    <w:rsid w:val="00301AC0"/>
    <w:rsid w:val="0030206B"/>
    <w:rsid w:val="003023DF"/>
    <w:rsid w:val="0030276B"/>
    <w:rsid w:val="00303CFD"/>
    <w:rsid w:val="00303D18"/>
    <w:rsid w:val="00303FD9"/>
    <w:rsid w:val="00304485"/>
    <w:rsid w:val="00304819"/>
    <w:rsid w:val="00306624"/>
    <w:rsid w:val="003070CB"/>
    <w:rsid w:val="003107D1"/>
    <w:rsid w:val="00310A3E"/>
    <w:rsid w:val="0031194C"/>
    <w:rsid w:val="00312554"/>
    <w:rsid w:val="0031257C"/>
    <w:rsid w:val="00312D74"/>
    <w:rsid w:val="00313469"/>
    <w:rsid w:val="0031397F"/>
    <w:rsid w:val="0031433E"/>
    <w:rsid w:val="00314D0F"/>
    <w:rsid w:val="00314FDF"/>
    <w:rsid w:val="00315917"/>
    <w:rsid w:val="00315A6E"/>
    <w:rsid w:val="00316213"/>
    <w:rsid w:val="003163D5"/>
    <w:rsid w:val="00316506"/>
    <w:rsid w:val="00316A34"/>
    <w:rsid w:val="00316FB6"/>
    <w:rsid w:val="0031773D"/>
    <w:rsid w:val="003202ED"/>
    <w:rsid w:val="00321940"/>
    <w:rsid w:val="00321D50"/>
    <w:rsid w:val="003222C4"/>
    <w:rsid w:val="00322CA7"/>
    <w:rsid w:val="0032497D"/>
    <w:rsid w:val="00324CA1"/>
    <w:rsid w:val="003252CF"/>
    <w:rsid w:val="003264D7"/>
    <w:rsid w:val="00326B6A"/>
    <w:rsid w:val="00326E88"/>
    <w:rsid w:val="00327743"/>
    <w:rsid w:val="003277FD"/>
    <w:rsid w:val="00327A94"/>
    <w:rsid w:val="003305C9"/>
    <w:rsid w:val="00330CF2"/>
    <w:rsid w:val="00331142"/>
    <w:rsid w:val="00331533"/>
    <w:rsid w:val="003315CA"/>
    <w:rsid w:val="0033160C"/>
    <w:rsid w:val="003317C4"/>
    <w:rsid w:val="00331D8A"/>
    <w:rsid w:val="00332209"/>
    <w:rsid w:val="00333056"/>
    <w:rsid w:val="00333998"/>
    <w:rsid w:val="00333A44"/>
    <w:rsid w:val="003348E8"/>
    <w:rsid w:val="00334956"/>
    <w:rsid w:val="00334A39"/>
    <w:rsid w:val="00335EDA"/>
    <w:rsid w:val="00335EE9"/>
    <w:rsid w:val="00336E0F"/>
    <w:rsid w:val="0033773F"/>
    <w:rsid w:val="00340AEC"/>
    <w:rsid w:val="00341B51"/>
    <w:rsid w:val="003425D3"/>
    <w:rsid w:val="003432F4"/>
    <w:rsid w:val="00344576"/>
    <w:rsid w:val="00344DBA"/>
    <w:rsid w:val="00345BD7"/>
    <w:rsid w:val="0034684D"/>
    <w:rsid w:val="00346DC4"/>
    <w:rsid w:val="00346EBA"/>
    <w:rsid w:val="00347487"/>
    <w:rsid w:val="003477AC"/>
    <w:rsid w:val="00347D5B"/>
    <w:rsid w:val="00350E13"/>
    <w:rsid w:val="003510F4"/>
    <w:rsid w:val="00351453"/>
    <w:rsid w:val="00351D3C"/>
    <w:rsid w:val="00352148"/>
    <w:rsid w:val="003525F9"/>
    <w:rsid w:val="0035300F"/>
    <w:rsid w:val="003532E1"/>
    <w:rsid w:val="003543D8"/>
    <w:rsid w:val="003544D2"/>
    <w:rsid w:val="0035453B"/>
    <w:rsid w:val="00354927"/>
    <w:rsid w:val="003549D1"/>
    <w:rsid w:val="00355FA9"/>
    <w:rsid w:val="0035665E"/>
    <w:rsid w:val="00356C27"/>
    <w:rsid w:val="00357662"/>
    <w:rsid w:val="00357DCC"/>
    <w:rsid w:val="00360276"/>
    <w:rsid w:val="00360F9F"/>
    <w:rsid w:val="003610B1"/>
    <w:rsid w:val="00361426"/>
    <w:rsid w:val="00361A30"/>
    <w:rsid w:val="00361ED5"/>
    <w:rsid w:val="0036208F"/>
    <w:rsid w:val="003623C6"/>
    <w:rsid w:val="00363151"/>
    <w:rsid w:val="003659D6"/>
    <w:rsid w:val="00365B72"/>
    <w:rsid w:val="00366864"/>
    <w:rsid w:val="00370528"/>
    <w:rsid w:val="00370FA7"/>
    <w:rsid w:val="00371727"/>
    <w:rsid w:val="0037329E"/>
    <w:rsid w:val="00373892"/>
    <w:rsid w:val="0037398A"/>
    <w:rsid w:val="003751AE"/>
    <w:rsid w:val="003764FD"/>
    <w:rsid w:val="00376886"/>
    <w:rsid w:val="00376A4D"/>
    <w:rsid w:val="00377299"/>
    <w:rsid w:val="00377449"/>
    <w:rsid w:val="00377B00"/>
    <w:rsid w:val="00380304"/>
    <w:rsid w:val="00380685"/>
    <w:rsid w:val="0038082D"/>
    <w:rsid w:val="00380ABF"/>
    <w:rsid w:val="00381398"/>
    <w:rsid w:val="003818A8"/>
    <w:rsid w:val="00381F7A"/>
    <w:rsid w:val="003825BC"/>
    <w:rsid w:val="00382700"/>
    <w:rsid w:val="00382F0D"/>
    <w:rsid w:val="003833BA"/>
    <w:rsid w:val="00383F7A"/>
    <w:rsid w:val="00384072"/>
    <w:rsid w:val="00384A6F"/>
    <w:rsid w:val="00384B32"/>
    <w:rsid w:val="00384DED"/>
    <w:rsid w:val="0038502E"/>
    <w:rsid w:val="00385046"/>
    <w:rsid w:val="003865D7"/>
    <w:rsid w:val="00386C27"/>
    <w:rsid w:val="00390498"/>
    <w:rsid w:val="003906FE"/>
    <w:rsid w:val="003911BA"/>
    <w:rsid w:val="00392192"/>
    <w:rsid w:val="0039240C"/>
    <w:rsid w:val="00392DBB"/>
    <w:rsid w:val="00392ED5"/>
    <w:rsid w:val="003930C5"/>
    <w:rsid w:val="00393459"/>
    <w:rsid w:val="003935AA"/>
    <w:rsid w:val="00393601"/>
    <w:rsid w:val="00393669"/>
    <w:rsid w:val="00394173"/>
    <w:rsid w:val="00394564"/>
    <w:rsid w:val="00394887"/>
    <w:rsid w:val="0039593D"/>
    <w:rsid w:val="00396426"/>
    <w:rsid w:val="00396EF0"/>
    <w:rsid w:val="00397284"/>
    <w:rsid w:val="00397571"/>
    <w:rsid w:val="00397A13"/>
    <w:rsid w:val="00397B6B"/>
    <w:rsid w:val="003A00A3"/>
    <w:rsid w:val="003A00D5"/>
    <w:rsid w:val="003A03D3"/>
    <w:rsid w:val="003A1559"/>
    <w:rsid w:val="003A22B5"/>
    <w:rsid w:val="003A270A"/>
    <w:rsid w:val="003A291E"/>
    <w:rsid w:val="003A2EBC"/>
    <w:rsid w:val="003A2EC9"/>
    <w:rsid w:val="003A3069"/>
    <w:rsid w:val="003A3B95"/>
    <w:rsid w:val="003A3C8B"/>
    <w:rsid w:val="003A577D"/>
    <w:rsid w:val="003A5C68"/>
    <w:rsid w:val="003A5E5A"/>
    <w:rsid w:val="003A5E5D"/>
    <w:rsid w:val="003A606F"/>
    <w:rsid w:val="003B027E"/>
    <w:rsid w:val="003B04C0"/>
    <w:rsid w:val="003B1084"/>
    <w:rsid w:val="003B1725"/>
    <w:rsid w:val="003B2FED"/>
    <w:rsid w:val="003B3538"/>
    <w:rsid w:val="003B3551"/>
    <w:rsid w:val="003B3936"/>
    <w:rsid w:val="003B3ADC"/>
    <w:rsid w:val="003B5E16"/>
    <w:rsid w:val="003C05F8"/>
    <w:rsid w:val="003C0B31"/>
    <w:rsid w:val="003C16C1"/>
    <w:rsid w:val="003C1A61"/>
    <w:rsid w:val="003C1A6E"/>
    <w:rsid w:val="003C2506"/>
    <w:rsid w:val="003C2C06"/>
    <w:rsid w:val="003C2C27"/>
    <w:rsid w:val="003C3CE0"/>
    <w:rsid w:val="003C3E8C"/>
    <w:rsid w:val="003C44E6"/>
    <w:rsid w:val="003C47D5"/>
    <w:rsid w:val="003C498D"/>
    <w:rsid w:val="003C5378"/>
    <w:rsid w:val="003C57DD"/>
    <w:rsid w:val="003C5A4E"/>
    <w:rsid w:val="003C5D64"/>
    <w:rsid w:val="003C606C"/>
    <w:rsid w:val="003C6696"/>
    <w:rsid w:val="003C681C"/>
    <w:rsid w:val="003C713F"/>
    <w:rsid w:val="003C7CDB"/>
    <w:rsid w:val="003C7E6B"/>
    <w:rsid w:val="003D0206"/>
    <w:rsid w:val="003D0238"/>
    <w:rsid w:val="003D02C6"/>
    <w:rsid w:val="003D15F9"/>
    <w:rsid w:val="003D1D92"/>
    <w:rsid w:val="003D1DED"/>
    <w:rsid w:val="003D25C1"/>
    <w:rsid w:val="003D278F"/>
    <w:rsid w:val="003D32D0"/>
    <w:rsid w:val="003D3A28"/>
    <w:rsid w:val="003D41FE"/>
    <w:rsid w:val="003D4BD0"/>
    <w:rsid w:val="003D66F6"/>
    <w:rsid w:val="003D6987"/>
    <w:rsid w:val="003D7171"/>
    <w:rsid w:val="003D75BA"/>
    <w:rsid w:val="003D789F"/>
    <w:rsid w:val="003D7C97"/>
    <w:rsid w:val="003E3E58"/>
    <w:rsid w:val="003E3E69"/>
    <w:rsid w:val="003E3F10"/>
    <w:rsid w:val="003E3FEE"/>
    <w:rsid w:val="003E5A0D"/>
    <w:rsid w:val="003E5C6D"/>
    <w:rsid w:val="003E695D"/>
    <w:rsid w:val="003E71A5"/>
    <w:rsid w:val="003E727B"/>
    <w:rsid w:val="003E79C0"/>
    <w:rsid w:val="003F035C"/>
    <w:rsid w:val="003F0E30"/>
    <w:rsid w:val="003F18AA"/>
    <w:rsid w:val="003F1D8A"/>
    <w:rsid w:val="003F241A"/>
    <w:rsid w:val="003F26F8"/>
    <w:rsid w:val="003F2D0E"/>
    <w:rsid w:val="003F2E3B"/>
    <w:rsid w:val="003F3333"/>
    <w:rsid w:val="003F455F"/>
    <w:rsid w:val="003F46D5"/>
    <w:rsid w:val="003F4A7A"/>
    <w:rsid w:val="003F4EF1"/>
    <w:rsid w:val="003F5C28"/>
    <w:rsid w:val="003F5F2E"/>
    <w:rsid w:val="003F78A0"/>
    <w:rsid w:val="003F7B52"/>
    <w:rsid w:val="00400305"/>
    <w:rsid w:val="00400444"/>
    <w:rsid w:val="0040134A"/>
    <w:rsid w:val="00401A79"/>
    <w:rsid w:val="00402D63"/>
    <w:rsid w:val="00404116"/>
    <w:rsid w:val="004058AD"/>
    <w:rsid w:val="00405A06"/>
    <w:rsid w:val="004066DE"/>
    <w:rsid w:val="00406EE7"/>
    <w:rsid w:val="00407CC7"/>
    <w:rsid w:val="004103E4"/>
    <w:rsid w:val="0041135E"/>
    <w:rsid w:val="004114EE"/>
    <w:rsid w:val="00411C44"/>
    <w:rsid w:val="00412357"/>
    <w:rsid w:val="00412B53"/>
    <w:rsid w:val="00413711"/>
    <w:rsid w:val="004143A3"/>
    <w:rsid w:val="004145A8"/>
    <w:rsid w:val="004146E3"/>
    <w:rsid w:val="00414C8B"/>
    <w:rsid w:val="00414E48"/>
    <w:rsid w:val="0041535F"/>
    <w:rsid w:val="004153F1"/>
    <w:rsid w:val="00415578"/>
    <w:rsid w:val="00415AF7"/>
    <w:rsid w:val="0041684F"/>
    <w:rsid w:val="00417E64"/>
    <w:rsid w:val="00420A85"/>
    <w:rsid w:val="00422F91"/>
    <w:rsid w:val="004237C6"/>
    <w:rsid w:val="00423852"/>
    <w:rsid w:val="00423A00"/>
    <w:rsid w:val="004248EC"/>
    <w:rsid w:val="00424A53"/>
    <w:rsid w:val="00425021"/>
    <w:rsid w:val="00425A54"/>
    <w:rsid w:val="004272DB"/>
    <w:rsid w:val="00430279"/>
    <w:rsid w:val="0043048A"/>
    <w:rsid w:val="004309E1"/>
    <w:rsid w:val="004313E3"/>
    <w:rsid w:val="0043165B"/>
    <w:rsid w:val="00431E9C"/>
    <w:rsid w:val="004324EC"/>
    <w:rsid w:val="00433E30"/>
    <w:rsid w:val="00433E7E"/>
    <w:rsid w:val="00434026"/>
    <w:rsid w:val="00435EF5"/>
    <w:rsid w:val="004366C1"/>
    <w:rsid w:val="00437023"/>
    <w:rsid w:val="00437794"/>
    <w:rsid w:val="00437D78"/>
    <w:rsid w:val="0044099A"/>
    <w:rsid w:val="00441B08"/>
    <w:rsid w:val="00441B85"/>
    <w:rsid w:val="00441BEA"/>
    <w:rsid w:val="00442372"/>
    <w:rsid w:val="00442413"/>
    <w:rsid w:val="004427ED"/>
    <w:rsid w:val="00442AF1"/>
    <w:rsid w:val="00442CCA"/>
    <w:rsid w:val="00442D30"/>
    <w:rsid w:val="004436DF"/>
    <w:rsid w:val="00444127"/>
    <w:rsid w:val="00444B6E"/>
    <w:rsid w:val="00445FEC"/>
    <w:rsid w:val="004470DF"/>
    <w:rsid w:val="00447420"/>
    <w:rsid w:val="004478E6"/>
    <w:rsid w:val="00447C7A"/>
    <w:rsid w:val="00447E9F"/>
    <w:rsid w:val="00450CAA"/>
    <w:rsid w:val="00450FC7"/>
    <w:rsid w:val="00451BAE"/>
    <w:rsid w:val="00451CA9"/>
    <w:rsid w:val="00452021"/>
    <w:rsid w:val="00453ACA"/>
    <w:rsid w:val="004540E8"/>
    <w:rsid w:val="004551BA"/>
    <w:rsid w:val="00455E3C"/>
    <w:rsid w:val="00455F4E"/>
    <w:rsid w:val="0045603A"/>
    <w:rsid w:val="00456461"/>
    <w:rsid w:val="00456F97"/>
    <w:rsid w:val="0045725B"/>
    <w:rsid w:val="00457951"/>
    <w:rsid w:val="004609C8"/>
    <w:rsid w:val="0046225F"/>
    <w:rsid w:val="004639F6"/>
    <w:rsid w:val="00463B2C"/>
    <w:rsid w:val="00464243"/>
    <w:rsid w:val="00464EA6"/>
    <w:rsid w:val="00465737"/>
    <w:rsid w:val="00465A03"/>
    <w:rsid w:val="00465CF3"/>
    <w:rsid w:val="00465F53"/>
    <w:rsid w:val="004665E5"/>
    <w:rsid w:val="004678D9"/>
    <w:rsid w:val="0047000F"/>
    <w:rsid w:val="004704A1"/>
    <w:rsid w:val="004708D8"/>
    <w:rsid w:val="00470BD3"/>
    <w:rsid w:val="00470E03"/>
    <w:rsid w:val="00471684"/>
    <w:rsid w:val="00472675"/>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B8"/>
    <w:rsid w:val="004851B3"/>
    <w:rsid w:val="00485966"/>
    <w:rsid w:val="00486242"/>
    <w:rsid w:val="004868A0"/>
    <w:rsid w:val="0048697B"/>
    <w:rsid w:val="00486EB6"/>
    <w:rsid w:val="00487261"/>
    <w:rsid w:val="004874F3"/>
    <w:rsid w:val="00487BD6"/>
    <w:rsid w:val="00487BF4"/>
    <w:rsid w:val="00490438"/>
    <w:rsid w:val="004906C8"/>
    <w:rsid w:val="00490C9F"/>
    <w:rsid w:val="0049129B"/>
    <w:rsid w:val="004915D6"/>
    <w:rsid w:val="004918A3"/>
    <w:rsid w:val="00491E73"/>
    <w:rsid w:val="00492651"/>
    <w:rsid w:val="00492A30"/>
    <w:rsid w:val="00492BED"/>
    <w:rsid w:val="00492E98"/>
    <w:rsid w:val="00492EB9"/>
    <w:rsid w:val="00493261"/>
    <w:rsid w:val="00493997"/>
    <w:rsid w:val="004943B0"/>
    <w:rsid w:val="00495502"/>
    <w:rsid w:val="00495929"/>
    <w:rsid w:val="0049687E"/>
    <w:rsid w:val="00496AAC"/>
    <w:rsid w:val="00496B81"/>
    <w:rsid w:val="00497265"/>
    <w:rsid w:val="004A0E85"/>
    <w:rsid w:val="004A1291"/>
    <w:rsid w:val="004A1620"/>
    <w:rsid w:val="004A17AB"/>
    <w:rsid w:val="004A18B0"/>
    <w:rsid w:val="004A1CAF"/>
    <w:rsid w:val="004A1E57"/>
    <w:rsid w:val="004A22C3"/>
    <w:rsid w:val="004A2427"/>
    <w:rsid w:val="004A26CE"/>
    <w:rsid w:val="004A2759"/>
    <w:rsid w:val="004A30D2"/>
    <w:rsid w:val="004A316C"/>
    <w:rsid w:val="004A3190"/>
    <w:rsid w:val="004A35D0"/>
    <w:rsid w:val="004A47C4"/>
    <w:rsid w:val="004A4E2C"/>
    <w:rsid w:val="004A4E98"/>
    <w:rsid w:val="004A62C4"/>
    <w:rsid w:val="004A65E7"/>
    <w:rsid w:val="004A6CC8"/>
    <w:rsid w:val="004A6EC2"/>
    <w:rsid w:val="004B0564"/>
    <w:rsid w:val="004B0895"/>
    <w:rsid w:val="004B0A82"/>
    <w:rsid w:val="004B0E88"/>
    <w:rsid w:val="004B0FC5"/>
    <w:rsid w:val="004B16DF"/>
    <w:rsid w:val="004B18D1"/>
    <w:rsid w:val="004B2163"/>
    <w:rsid w:val="004B22DE"/>
    <w:rsid w:val="004B2C40"/>
    <w:rsid w:val="004B3A76"/>
    <w:rsid w:val="004B542F"/>
    <w:rsid w:val="004B5571"/>
    <w:rsid w:val="004B5A42"/>
    <w:rsid w:val="004B7D6C"/>
    <w:rsid w:val="004B7F06"/>
    <w:rsid w:val="004B7FC6"/>
    <w:rsid w:val="004C156E"/>
    <w:rsid w:val="004C1997"/>
    <w:rsid w:val="004C1C70"/>
    <w:rsid w:val="004C1DC9"/>
    <w:rsid w:val="004C2B12"/>
    <w:rsid w:val="004C430D"/>
    <w:rsid w:val="004C51D3"/>
    <w:rsid w:val="004C61AE"/>
    <w:rsid w:val="004C6D63"/>
    <w:rsid w:val="004C7A4A"/>
    <w:rsid w:val="004D1300"/>
    <w:rsid w:val="004D15EB"/>
    <w:rsid w:val="004D1952"/>
    <w:rsid w:val="004D25E9"/>
    <w:rsid w:val="004D2D4E"/>
    <w:rsid w:val="004D2E00"/>
    <w:rsid w:val="004D569D"/>
    <w:rsid w:val="004D5AC6"/>
    <w:rsid w:val="004D5C50"/>
    <w:rsid w:val="004D6117"/>
    <w:rsid w:val="004D66BD"/>
    <w:rsid w:val="004D6A3E"/>
    <w:rsid w:val="004D6E1F"/>
    <w:rsid w:val="004D752B"/>
    <w:rsid w:val="004D79D5"/>
    <w:rsid w:val="004D7A6C"/>
    <w:rsid w:val="004E01CD"/>
    <w:rsid w:val="004E0723"/>
    <w:rsid w:val="004E072E"/>
    <w:rsid w:val="004E0E34"/>
    <w:rsid w:val="004E1B2A"/>
    <w:rsid w:val="004E1DE2"/>
    <w:rsid w:val="004E258B"/>
    <w:rsid w:val="004E278B"/>
    <w:rsid w:val="004E3E1B"/>
    <w:rsid w:val="004E48FE"/>
    <w:rsid w:val="004E5243"/>
    <w:rsid w:val="004E5619"/>
    <w:rsid w:val="004E5E6C"/>
    <w:rsid w:val="004E62A9"/>
    <w:rsid w:val="004E6709"/>
    <w:rsid w:val="004E73D3"/>
    <w:rsid w:val="004E799B"/>
    <w:rsid w:val="004E7E30"/>
    <w:rsid w:val="004F04C8"/>
    <w:rsid w:val="004F058A"/>
    <w:rsid w:val="004F0EA4"/>
    <w:rsid w:val="004F1580"/>
    <w:rsid w:val="004F1F6C"/>
    <w:rsid w:val="004F2218"/>
    <w:rsid w:val="004F2AB9"/>
    <w:rsid w:val="004F2C3F"/>
    <w:rsid w:val="004F2E8D"/>
    <w:rsid w:val="004F37DE"/>
    <w:rsid w:val="004F39D3"/>
    <w:rsid w:val="004F4198"/>
    <w:rsid w:val="004F4421"/>
    <w:rsid w:val="004F4BEC"/>
    <w:rsid w:val="004F56A6"/>
    <w:rsid w:val="004F5863"/>
    <w:rsid w:val="004F611D"/>
    <w:rsid w:val="004F65C4"/>
    <w:rsid w:val="004F682C"/>
    <w:rsid w:val="004F68D6"/>
    <w:rsid w:val="004F6AF9"/>
    <w:rsid w:val="004F6C7F"/>
    <w:rsid w:val="005006F3"/>
    <w:rsid w:val="005012AB"/>
    <w:rsid w:val="005018A2"/>
    <w:rsid w:val="00501A9B"/>
    <w:rsid w:val="00501C2A"/>
    <w:rsid w:val="00502DCA"/>
    <w:rsid w:val="0050306A"/>
    <w:rsid w:val="005032BE"/>
    <w:rsid w:val="00503B3B"/>
    <w:rsid w:val="0050442E"/>
    <w:rsid w:val="00506538"/>
    <w:rsid w:val="005074B6"/>
    <w:rsid w:val="00507983"/>
    <w:rsid w:val="005104EC"/>
    <w:rsid w:val="005113B7"/>
    <w:rsid w:val="00512007"/>
    <w:rsid w:val="00512692"/>
    <w:rsid w:val="00512C45"/>
    <w:rsid w:val="00513170"/>
    <w:rsid w:val="005137A4"/>
    <w:rsid w:val="00513B0B"/>
    <w:rsid w:val="00513DB5"/>
    <w:rsid w:val="00514674"/>
    <w:rsid w:val="00514858"/>
    <w:rsid w:val="00515189"/>
    <w:rsid w:val="005155A7"/>
    <w:rsid w:val="0051567E"/>
    <w:rsid w:val="005158E0"/>
    <w:rsid w:val="00516368"/>
    <w:rsid w:val="00516779"/>
    <w:rsid w:val="00516943"/>
    <w:rsid w:val="0051743E"/>
    <w:rsid w:val="00517F75"/>
    <w:rsid w:val="005209E2"/>
    <w:rsid w:val="00521F58"/>
    <w:rsid w:val="0052225F"/>
    <w:rsid w:val="005223BE"/>
    <w:rsid w:val="00522928"/>
    <w:rsid w:val="00522E28"/>
    <w:rsid w:val="00524F25"/>
    <w:rsid w:val="00525205"/>
    <w:rsid w:val="00525233"/>
    <w:rsid w:val="00525276"/>
    <w:rsid w:val="00525B5B"/>
    <w:rsid w:val="00525D51"/>
    <w:rsid w:val="0052717F"/>
    <w:rsid w:val="00530A90"/>
    <w:rsid w:val="0053100B"/>
    <w:rsid w:val="005319B7"/>
    <w:rsid w:val="00531FBF"/>
    <w:rsid w:val="00531FCE"/>
    <w:rsid w:val="0053323E"/>
    <w:rsid w:val="005334A2"/>
    <w:rsid w:val="00533E30"/>
    <w:rsid w:val="00534014"/>
    <w:rsid w:val="005342B7"/>
    <w:rsid w:val="005345E9"/>
    <w:rsid w:val="005349F6"/>
    <w:rsid w:val="00535964"/>
    <w:rsid w:val="00535A47"/>
    <w:rsid w:val="00535B68"/>
    <w:rsid w:val="00535B83"/>
    <w:rsid w:val="0053653C"/>
    <w:rsid w:val="0053737D"/>
    <w:rsid w:val="0053766D"/>
    <w:rsid w:val="00537B47"/>
    <w:rsid w:val="0054057E"/>
    <w:rsid w:val="005410F8"/>
    <w:rsid w:val="00541787"/>
    <w:rsid w:val="00541B56"/>
    <w:rsid w:val="00541B69"/>
    <w:rsid w:val="00541C80"/>
    <w:rsid w:val="00541FAA"/>
    <w:rsid w:val="005423F1"/>
    <w:rsid w:val="00542E7B"/>
    <w:rsid w:val="005438FE"/>
    <w:rsid w:val="00543987"/>
    <w:rsid w:val="00543FEA"/>
    <w:rsid w:val="00544D6D"/>
    <w:rsid w:val="0054564F"/>
    <w:rsid w:val="00545D58"/>
    <w:rsid w:val="005465A4"/>
    <w:rsid w:val="00546693"/>
    <w:rsid w:val="00546A22"/>
    <w:rsid w:val="00546B3B"/>
    <w:rsid w:val="00547010"/>
    <w:rsid w:val="00550930"/>
    <w:rsid w:val="005519E7"/>
    <w:rsid w:val="00551DBC"/>
    <w:rsid w:val="00552371"/>
    <w:rsid w:val="005527B2"/>
    <w:rsid w:val="00553C15"/>
    <w:rsid w:val="005550C9"/>
    <w:rsid w:val="005551F0"/>
    <w:rsid w:val="005557D0"/>
    <w:rsid w:val="00556963"/>
    <w:rsid w:val="00556B56"/>
    <w:rsid w:val="00557309"/>
    <w:rsid w:val="00557376"/>
    <w:rsid w:val="005607D9"/>
    <w:rsid w:val="00562487"/>
    <w:rsid w:val="00562826"/>
    <w:rsid w:val="00562C00"/>
    <w:rsid w:val="0056395B"/>
    <w:rsid w:val="005642D9"/>
    <w:rsid w:val="00564400"/>
    <w:rsid w:val="00564C1E"/>
    <w:rsid w:val="00565520"/>
    <w:rsid w:val="005658F3"/>
    <w:rsid w:val="005659CA"/>
    <w:rsid w:val="00565F3C"/>
    <w:rsid w:val="005663C1"/>
    <w:rsid w:val="005676F6"/>
    <w:rsid w:val="0057046D"/>
    <w:rsid w:val="005709AC"/>
    <w:rsid w:val="00571614"/>
    <w:rsid w:val="0057164F"/>
    <w:rsid w:val="00571715"/>
    <w:rsid w:val="00572136"/>
    <w:rsid w:val="00572B53"/>
    <w:rsid w:val="00572CCD"/>
    <w:rsid w:val="00573A34"/>
    <w:rsid w:val="00573C82"/>
    <w:rsid w:val="00573D9C"/>
    <w:rsid w:val="00574392"/>
    <w:rsid w:val="0057537D"/>
    <w:rsid w:val="005759F0"/>
    <w:rsid w:val="005764D2"/>
    <w:rsid w:val="00576A68"/>
    <w:rsid w:val="00576BEB"/>
    <w:rsid w:val="00576FB4"/>
    <w:rsid w:val="00581E73"/>
    <w:rsid w:val="0058238E"/>
    <w:rsid w:val="0058240A"/>
    <w:rsid w:val="005827D0"/>
    <w:rsid w:val="00582BAF"/>
    <w:rsid w:val="005837C8"/>
    <w:rsid w:val="0058380C"/>
    <w:rsid w:val="0058442B"/>
    <w:rsid w:val="005847C8"/>
    <w:rsid w:val="00585810"/>
    <w:rsid w:val="00585873"/>
    <w:rsid w:val="00585D94"/>
    <w:rsid w:val="005866A6"/>
    <w:rsid w:val="00586FB0"/>
    <w:rsid w:val="00587C51"/>
    <w:rsid w:val="00587E79"/>
    <w:rsid w:val="00590B72"/>
    <w:rsid w:val="005928E8"/>
    <w:rsid w:val="00592C1D"/>
    <w:rsid w:val="00592F5B"/>
    <w:rsid w:val="00593164"/>
    <w:rsid w:val="005938C6"/>
    <w:rsid w:val="00593F25"/>
    <w:rsid w:val="00594235"/>
    <w:rsid w:val="0059443F"/>
    <w:rsid w:val="0059480A"/>
    <w:rsid w:val="005954DB"/>
    <w:rsid w:val="00595755"/>
    <w:rsid w:val="005962C4"/>
    <w:rsid w:val="0059662F"/>
    <w:rsid w:val="00596C57"/>
    <w:rsid w:val="00597FA1"/>
    <w:rsid w:val="005A0446"/>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B6A"/>
    <w:rsid w:val="005A7203"/>
    <w:rsid w:val="005A724E"/>
    <w:rsid w:val="005A72FE"/>
    <w:rsid w:val="005A7B0D"/>
    <w:rsid w:val="005A7C07"/>
    <w:rsid w:val="005B000B"/>
    <w:rsid w:val="005B0AC1"/>
    <w:rsid w:val="005B1059"/>
    <w:rsid w:val="005B1588"/>
    <w:rsid w:val="005B1E55"/>
    <w:rsid w:val="005B21A2"/>
    <w:rsid w:val="005B25BA"/>
    <w:rsid w:val="005B27F0"/>
    <w:rsid w:val="005B2986"/>
    <w:rsid w:val="005B2A3A"/>
    <w:rsid w:val="005B3094"/>
    <w:rsid w:val="005B3A52"/>
    <w:rsid w:val="005B4667"/>
    <w:rsid w:val="005B623B"/>
    <w:rsid w:val="005B7E10"/>
    <w:rsid w:val="005C027C"/>
    <w:rsid w:val="005C063B"/>
    <w:rsid w:val="005C0850"/>
    <w:rsid w:val="005C0EB3"/>
    <w:rsid w:val="005C0F74"/>
    <w:rsid w:val="005C1270"/>
    <w:rsid w:val="005C14F7"/>
    <w:rsid w:val="005C1647"/>
    <w:rsid w:val="005C2774"/>
    <w:rsid w:val="005C33FE"/>
    <w:rsid w:val="005C37BB"/>
    <w:rsid w:val="005C3826"/>
    <w:rsid w:val="005C39D8"/>
    <w:rsid w:val="005C3BB5"/>
    <w:rsid w:val="005C3EEA"/>
    <w:rsid w:val="005C5090"/>
    <w:rsid w:val="005C561B"/>
    <w:rsid w:val="005C56D2"/>
    <w:rsid w:val="005C5866"/>
    <w:rsid w:val="005C6273"/>
    <w:rsid w:val="005C65EE"/>
    <w:rsid w:val="005C67B7"/>
    <w:rsid w:val="005C6A43"/>
    <w:rsid w:val="005C6E7A"/>
    <w:rsid w:val="005D038C"/>
    <w:rsid w:val="005D0580"/>
    <w:rsid w:val="005D101A"/>
    <w:rsid w:val="005D1637"/>
    <w:rsid w:val="005D1C4B"/>
    <w:rsid w:val="005D22C5"/>
    <w:rsid w:val="005D2805"/>
    <w:rsid w:val="005D2823"/>
    <w:rsid w:val="005D2BC6"/>
    <w:rsid w:val="005D3720"/>
    <w:rsid w:val="005D4FE7"/>
    <w:rsid w:val="005D71C8"/>
    <w:rsid w:val="005D74B1"/>
    <w:rsid w:val="005D7E37"/>
    <w:rsid w:val="005E08B4"/>
    <w:rsid w:val="005E1997"/>
    <w:rsid w:val="005E1DB0"/>
    <w:rsid w:val="005E20B2"/>
    <w:rsid w:val="005E26CC"/>
    <w:rsid w:val="005E2F70"/>
    <w:rsid w:val="005E352A"/>
    <w:rsid w:val="005E4D89"/>
    <w:rsid w:val="005E5B1A"/>
    <w:rsid w:val="005E5C5D"/>
    <w:rsid w:val="005E5C70"/>
    <w:rsid w:val="005E5CDC"/>
    <w:rsid w:val="005E6100"/>
    <w:rsid w:val="005E7248"/>
    <w:rsid w:val="005E7A3B"/>
    <w:rsid w:val="005E7DF5"/>
    <w:rsid w:val="005F0C44"/>
    <w:rsid w:val="005F1656"/>
    <w:rsid w:val="005F1BFF"/>
    <w:rsid w:val="005F1D26"/>
    <w:rsid w:val="005F2195"/>
    <w:rsid w:val="005F22B2"/>
    <w:rsid w:val="005F2EB6"/>
    <w:rsid w:val="005F3240"/>
    <w:rsid w:val="005F3DC0"/>
    <w:rsid w:val="005F4139"/>
    <w:rsid w:val="005F47D5"/>
    <w:rsid w:val="005F531B"/>
    <w:rsid w:val="005F5442"/>
    <w:rsid w:val="005F55DA"/>
    <w:rsid w:val="005F5674"/>
    <w:rsid w:val="005F635B"/>
    <w:rsid w:val="005F63CD"/>
    <w:rsid w:val="005F65E6"/>
    <w:rsid w:val="005F66BB"/>
    <w:rsid w:val="005F6DC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5BDC"/>
    <w:rsid w:val="006068BB"/>
    <w:rsid w:val="00606918"/>
    <w:rsid w:val="00607323"/>
    <w:rsid w:val="0060737E"/>
    <w:rsid w:val="00610D19"/>
    <w:rsid w:val="00610E8D"/>
    <w:rsid w:val="00610EAF"/>
    <w:rsid w:val="00610EB0"/>
    <w:rsid w:val="0061136B"/>
    <w:rsid w:val="00611443"/>
    <w:rsid w:val="00612821"/>
    <w:rsid w:val="006128BD"/>
    <w:rsid w:val="006132A3"/>
    <w:rsid w:val="006144E3"/>
    <w:rsid w:val="00614538"/>
    <w:rsid w:val="00614DF2"/>
    <w:rsid w:val="00615283"/>
    <w:rsid w:val="006154FD"/>
    <w:rsid w:val="0061642C"/>
    <w:rsid w:val="00616540"/>
    <w:rsid w:val="00616965"/>
    <w:rsid w:val="00616D11"/>
    <w:rsid w:val="0061723E"/>
    <w:rsid w:val="00617A17"/>
    <w:rsid w:val="00617BC7"/>
    <w:rsid w:val="00620BFC"/>
    <w:rsid w:val="006210E1"/>
    <w:rsid w:val="00622238"/>
    <w:rsid w:val="0062251B"/>
    <w:rsid w:val="006225B3"/>
    <w:rsid w:val="00622B16"/>
    <w:rsid w:val="00622B97"/>
    <w:rsid w:val="006243C0"/>
    <w:rsid w:val="00624D95"/>
    <w:rsid w:val="0062528B"/>
    <w:rsid w:val="00625462"/>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49C5"/>
    <w:rsid w:val="00634A1B"/>
    <w:rsid w:val="006356C6"/>
    <w:rsid w:val="00635D68"/>
    <w:rsid w:val="00636916"/>
    <w:rsid w:val="00636EEB"/>
    <w:rsid w:val="00637EF9"/>
    <w:rsid w:val="006432CD"/>
    <w:rsid w:val="00643FD5"/>
    <w:rsid w:val="00644AD2"/>
    <w:rsid w:val="00644ED9"/>
    <w:rsid w:val="00644F76"/>
    <w:rsid w:val="00645350"/>
    <w:rsid w:val="00645C50"/>
    <w:rsid w:val="0064627B"/>
    <w:rsid w:val="0064649B"/>
    <w:rsid w:val="00646A13"/>
    <w:rsid w:val="00646A82"/>
    <w:rsid w:val="00647243"/>
    <w:rsid w:val="006500FA"/>
    <w:rsid w:val="00651423"/>
    <w:rsid w:val="00651823"/>
    <w:rsid w:val="0065186E"/>
    <w:rsid w:val="00652628"/>
    <w:rsid w:val="006530F6"/>
    <w:rsid w:val="00653214"/>
    <w:rsid w:val="006532A6"/>
    <w:rsid w:val="00653439"/>
    <w:rsid w:val="00653734"/>
    <w:rsid w:val="00653FF7"/>
    <w:rsid w:val="0065429D"/>
    <w:rsid w:val="00657133"/>
    <w:rsid w:val="0066043C"/>
    <w:rsid w:val="00660760"/>
    <w:rsid w:val="006611C4"/>
    <w:rsid w:val="00661DA3"/>
    <w:rsid w:val="00661F63"/>
    <w:rsid w:val="0066287E"/>
    <w:rsid w:val="0066304E"/>
    <w:rsid w:val="00663962"/>
    <w:rsid w:val="00663E43"/>
    <w:rsid w:val="006652BC"/>
    <w:rsid w:val="00665DA3"/>
    <w:rsid w:val="00666D21"/>
    <w:rsid w:val="00666FFE"/>
    <w:rsid w:val="00667691"/>
    <w:rsid w:val="00667F76"/>
    <w:rsid w:val="006702D7"/>
    <w:rsid w:val="006706FB"/>
    <w:rsid w:val="00670B43"/>
    <w:rsid w:val="00670EBF"/>
    <w:rsid w:val="00672184"/>
    <w:rsid w:val="00672C38"/>
    <w:rsid w:val="0067344A"/>
    <w:rsid w:val="0067367F"/>
    <w:rsid w:val="00673BBC"/>
    <w:rsid w:val="006741B6"/>
    <w:rsid w:val="00674590"/>
    <w:rsid w:val="0067523E"/>
    <w:rsid w:val="0067592C"/>
    <w:rsid w:val="006764B9"/>
    <w:rsid w:val="00676996"/>
    <w:rsid w:val="00676CEF"/>
    <w:rsid w:val="00677342"/>
    <w:rsid w:val="00680477"/>
    <w:rsid w:val="00680961"/>
    <w:rsid w:val="00680990"/>
    <w:rsid w:val="006812B2"/>
    <w:rsid w:val="006820A5"/>
    <w:rsid w:val="006823BE"/>
    <w:rsid w:val="0068335B"/>
    <w:rsid w:val="00683CCA"/>
    <w:rsid w:val="00683EDC"/>
    <w:rsid w:val="006842CE"/>
    <w:rsid w:val="00684700"/>
    <w:rsid w:val="006850F7"/>
    <w:rsid w:val="00685613"/>
    <w:rsid w:val="0068590C"/>
    <w:rsid w:val="00685A22"/>
    <w:rsid w:val="0068643B"/>
    <w:rsid w:val="00686CDB"/>
    <w:rsid w:val="00687138"/>
    <w:rsid w:val="0068732E"/>
    <w:rsid w:val="0068752A"/>
    <w:rsid w:val="006879F2"/>
    <w:rsid w:val="006912EF"/>
    <w:rsid w:val="00691E0C"/>
    <w:rsid w:val="00692006"/>
    <w:rsid w:val="006921C1"/>
    <w:rsid w:val="006921D9"/>
    <w:rsid w:val="00692387"/>
    <w:rsid w:val="006930D9"/>
    <w:rsid w:val="006932D3"/>
    <w:rsid w:val="00693786"/>
    <w:rsid w:val="00694562"/>
    <w:rsid w:val="0069472A"/>
    <w:rsid w:val="00694896"/>
    <w:rsid w:val="00694C2C"/>
    <w:rsid w:val="00694E30"/>
    <w:rsid w:val="00695A5C"/>
    <w:rsid w:val="00696F08"/>
    <w:rsid w:val="006979B1"/>
    <w:rsid w:val="006A0A5A"/>
    <w:rsid w:val="006A1AAC"/>
    <w:rsid w:val="006A1E47"/>
    <w:rsid w:val="006A33E9"/>
    <w:rsid w:val="006A34E3"/>
    <w:rsid w:val="006A43B2"/>
    <w:rsid w:val="006A4C48"/>
    <w:rsid w:val="006A5873"/>
    <w:rsid w:val="006A5D73"/>
    <w:rsid w:val="006A62EB"/>
    <w:rsid w:val="006A64B3"/>
    <w:rsid w:val="006A694D"/>
    <w:rsid w:val="006A7AE6"/>
    <w:rsid w:val="006B01FF"/>
    <w:rsid w:val="006B03C6"/>
    <w:rsid w:val="006B1574"/>
    <w:rsid w:val="006B22AB"/>
    <w:rsid w:val="006B3A09"/>
    <w:rsid w:val="006B4F12"/>
    <w:rsid w:val="006B5AC1"/>
    <w:rsid w:val="006B63EE"/>
    <w:rsid w:val="006B6F16"/>
    <w:rsid w:val="006B718E"/>
    <w:rsid w:val="006B734C"/>
    <w:rsid w:val="006B7D01"/>
    <w:rsid w:val="006C02B8"/>
    <w:rsid w:val="006C069C"/>
    <w:rsid w:val="006C1C65"/>
    <w:rsid w:val="006C1E10"/>
    <w:rsid w:val="006C1E8C"/>
    <w:rsid w:val="006C23F3"/>
    <w:rsid w:val="006C2DDF"/>
    <w:rsid w:val="006C338F"/>
    <w:rsid w:val="006C3690"/>
    <w:rsid w:val="006C37F9"/>
    <w:rsid w:val="006C498F"/>
    <w:rsid w:val="006C5608"/>
    <w:rsid w:val="006C5FDF"/>
    <w:rsid w:val="006C698D"/>
    <w:rsid w:val="006C74E3"/>
    <w:rsid w:val="006C7978"/>
    <w:rsid w:val="006C7C28"/>
    <w:rsid w:val="006D0D31"/>
    <w:rsid w:val="006D0ED8"/>
    <w:rsid w:val="006D1310"/>
    <w:rsid w:val="006D1839"/>
    <w:rsid w:val="006D1AEE"/>
    <w:rsid w:val="006D1B06"/>
    <w:rsid w:val="006D1C64"/>
    <w:rsid w:val="006D1C7E"/>
    <w:rsid w:val="006D35F2"/>
    <w:rsid w:val="006D38D9"/>
    <w:rsid w:val="006D439F"/>
    <w:rsid w:val="006D440F"/>
    <w:rsid w:val="006D491A"/>
    <w:rsid w:val="006D5281"/>
    <w:rsid w:val="006D5F35"/>
    <w:rsid w:val="006D6632"/>
    <w:rsid w:val="006D6903"/>
    <w:rsid w:val="006D6914"/>
    <w:rsid w:val="006D6EB3"/>
    <w:rsid w:val="006D74CC"/>
    <w:rsid w:val="006D7B78"/>
    <w:rsid w:val="006D7D02"/>
    <w:rsid w:val="006E104E"/>
    <w:rsid w:val="006E189E"/>
    <w:rsid w:val="006E19F7"/>
    <w:rsid w:val="006E241F"/>
    <w:rsid w:val="006E3230"/>
    <w:rsid w:val="006E4FAA"/>
    <w:rsid w:val="006E5101"/>
    <w:rsid w:val="006E526C"/>
    <w:rsid w:val="006E5290"/>
    <w:rsid w:val="006E56F4"/>
    <w:rsid w:val="006E5775"/>
    <w:rsid w:val="006E63D4"/>
    <w:rsid w:val="006E7BA1"/>
    <w:rsid w:val="006E7F16"/>
    <w:rsid w:val="006F0C74"/>
    <w:rsid w:val="006F0DC0"/>
    <w:rsid w:val="006F1341"/>
    <w:rsid w:val="006F2DBF"/>
    <w:rsid w:val="006F4078"/>
    <w:rsid w:val="006F40A8"/>
    <w:rsid w:val="006F4247"/>
    <w:rsid w:val="006F4985"/>
    <w:rsid w:val="006F4B6B"/>
    <w:rsid w:val="006F4BD6"/>
    <w:rsid w:val="006F4DAD"/>
    <w:rsid w:val="006F5569"/>
    <w:rsid w:val="006F612F"/>
    <w:rsid w:val="006F621E"/>
    <w:rsid w:val="006F6862"/>
    <w:rsid w:val="006F79B0"/>
    <w:rsid w:val="0070099B"/>
    <w:rsid w:val="007011CE"/>
    <w:rsid w:val="00701B48"/>
    <w:rsid w:val="00701F45"/>
    <w:rsid w:val="00703162"/>
    <w:rsid w:val="00704426"/>
    <w:rsid w:val="00704556"/>
    <w:rsid w:val="007054DE"/>
    <w:rsid w:val="007057D0"/>
    <w:rsid w:val="00705E6F"/>
    <w:rsid w:val="00705FFD"/>
    <w:rsid w:val="00706D13"/>
    <w:rsid w:val="00706D3A"/>
    <w:rsid w:val="007074BE"/>
    <w:rsid w:val="007078AE"/>
    <w:rsid w:val="00707EA8"/>
    <w:rsid w:val="00707FB5"/>
    <w:rsid w:val="00710D7F"/>
    <w:rsid w:val="00710E81"/>
    <w:rsid w:val="00711D93"/>
    <w:rsid w:val="00712617"/>
    <w:rsid w:val="00712786"/>
    <w:rsid w:val="007127C1"/>
    <w:rsid w:val="007136E6"/>
    <w:rsid w:val="0071387A"/>
    <w:rsid w:val="0071449C"/>
    <w:rsid w:val="00714799"/>
    <w:rsid w:val="00714CE2"/>
    <w:rsid w:val="00714DEA"/>
    <w:rsid w:val="00717A55"/>
    <w:rsid w:val="00720A3B"/>
    <w:rsid w:val="00720CA1"/>
    <w:rsid w:val="00721E3B"/>
    <w:rsid w:val="0072246E"/>
    <w:rsid w:val="0072307D"/>
    <w:rsid w:val="00723177"/>
    <w:rsid w:val="0072338A"/>
    <w:rsid w:val="0072344A"/>
    <w:rsid w:val="00723B7D"/>
    <w:rsid w:val="00723C2C"/>
    <w:rsid w:val="00724326"/>
    <w:rsid w:val="007247E8"/>
    <w:rsid w:val="0072532F"/>
    <w:rsid w:val="0072590E"/>
    <w:rsid w:val="00725F3A"/>
    <w:rsid w:val="00726267"/>
    <w:rsid w:val="00726AE5"/>
    <w:rsid w:val="007272D4"/>
    <w:rsid w:val="007278D2"/>
    <w:rsid w:val="00727A87"/>
    <w:rsid w:val="0073007C"/>
    <w:rsid w:val="007309D5"/>
    <w:rsid w:val="00730A45"/>
    <w:rsid w:val="00730C26"/>
    <w:rsid w:val="0073116B"/>
    <w:rsid w:val="00731DD0"/>
    <w:rsid w:val="00731E5A"/>
    <w:rsid w:val="00732069"/>
    <w:rsid w:val="007324E0"/>
    <w:rsid w:val="007327BA"/>
    <w:rsid w:val="007328C3"/>
    <w:rsid w:val="00732B84"/>
    <w:rsid w:val="00733AB5"/>
    <w:rsid w:val="00734288"/>
    <w:rsid w:val="00734B24"/>
    <w:rsid w:val="00734E3E"/>
    <w:rsid w:val="007356E6"/>
    <w:rsid w:val="007356FD"/>
    <w:rsid w:val="00735AC8"/>
    <w:rsid w:val="00735B92"/>
    <w:rsid w:val="007362C8"/>
    <w:rsid w:val="00736508"/>
    <w:rsid w:val="00736D15"/>
    <w:rsid w:val="00737847"/>
    <w:rsid w:val="00737F72"/>
    <w:rsid w:val="00740922"/>
    <w:rsid w:val="00740F0D"/>
    <w:rsid w:val="00741819"/>
    <w:rsid w:val="00741B4A"/>
    <w:rsid w:val="007422C7"/>
    <w:rsid w:val="00742A27"/>
    <w:rsid w:val="00742D85"/>
    <w:rsid w:val="00743439"/>
    <w:rsid w:val="00744CD6"/>
    <w:rsid w:val="007450A6"/>
    <w:rsid w:val="0074571F"/>
    <w:rsid w:val="00746F1A"/>
    <w:rsid w:val="00750385"/>
    <w:rsid w:val="00750521"/>
    <w:rsid w:val="007508D3"/>
    <w:rsid w:val="00750CD7"/>
    <w:rsid w:val="007511C1"/>
    <w:rsid w:val="0075129A"/>
    <w:rsid w:val="00752838"/>
    <w:rsid w:val="007532C1"/>
    <w:rsid w:val="00753636"/>
    <w:rsid w:val="00754422"/>
    <w:rsid w:val="0075546D"/>
    <w:rsid w:val="00755977"/>
    <w:rsid w:val="00755EC4"/>
    <w:rsid w:val="0075601B"/>
    <w:rsid w:val="00756F96"/>
    <w:rsid w:val="007571E5"/>
    <w:rsid w:val="00757784"/>
    <w:rsid w:val="00757B32"/>
    <w:rsid w:val="00760BF7"/>
    <w:rsid w:val="00760DC7"/>
    <w:rsid w:val="00760E6A"/>
    <w:rsid w:val="00760EFB"/>
    <w:rsid w:val="00761103"/>
    <w:rsid w:val="00762205"/>
    <w:rsid w:val="00762D71"/>
    <w:rsid w:val="00762D81"/>
    <w:rsid w:val="00763266"/>
    <w:rsid w:val="007652BC"/>
    <w:rsid w:val="007661D0"/>
    <w:rsid w:val="00766218"/>
    <w:rsid w:val="007663FC"/>
    <w:rsid w:val="00766F9A"/>
    <w:rsid w:val="0076731F"/>
    <w:rsid w:val="00767B39"/>
    <w:rsid w:val="0077031C"/>
    <w:rsid w:val="0077049A"/>
    <w:rsid w:val="00770714"/>
    <w:rsid w:val="00770D13"/>
    <w:rsid w:val="00770F99"/>
    <w:rsid w:val="0077142E"/>
    <w:rsid w:val="0077184E"/>
    <w:rsid w:val="00772316"/>
    <w:rsid w:val="00772339"/>
    <w:rsid w:val="007732EE"/>
    <w:rsid w:val="007739CD"/>
    <w:rsid w:val="00773DAF"/>
    <w:rsid w:val="00774129"/>
    <w:rsid w:val="007743F2"/>
    <w:rsid w:val="00775154"/>
    <w:rsid w:val="00775ACA"/>
    <w:rsid w:val="00776937"/>
    <w:rsid w:val="00776DA2"/>
    <w:rsid w:val="0077715C"/>
    <w:rsid w:val="0077725A"/>
    <w:rsid w:val="00777685"/>
    <w:rsid w:val="0078084A"/>
    <w:rsid w:val="00780E3D"/>
    <w:rsid w:val="00780EC3"/>
    <w:rsid w:val="00781A28"/>
    <w:rsid w:val="0078293C"/>
    <w:rsid w:val="0078299E"/>
    <w:rsid w:val="00783124"/>
    <w:rsid w:val="00783341"/>
    <w:rsid w:val="0078359C"/>
    <w:rsid w:val="00783893"/>
    <w:rsid w:val="00783B29"/>
    <w:rsid w:val="00783EFC"/>
    <w:rsid w:val="00784160"/>
    <w:rsid w:val="00785311"/>
    <w:rsid w:val="007853C7"/>
    <w:rsid w:val="0078571F"/>
    <w:rsid w:val="007860AD"/>
    <w:rsid w:val="00786266"/>
    <w:rsid w:val="00786EEF"/>
    <w:rsid w:val="00791B99"/>
    <w:rsid w:val="00791E15"/>
    <w:rsid w:val="007927C0"/>
    <w:rsid w:val="0079441D"/>
    <w:rsid w:val="00795160"/>
    <w:rsid w:val="007958A2"/>
    <w:rsid w:val="007968B1"/>
    <w:rsid w:val="00796A66"/>
    <w:rsid w:val="00796D22"/>
    <w:rsid w:val="00797A80"/>
    <w:rsid w:val="007A0187"/>
    <w:rsid w:val="007A062B"/>
    <w:rsid w:val="007A0905"/>
    <w:rsid w:val="007A1653"/>
    <w:rsid w:val="007A1E5B"/>
    <w:rsid w:val="007A24CC"/>
    <w:rsid w:val="007A2766"/>
    <w:rsid w:val="007A2CE8"/>
    <w:rsid w:val="007A3244"/>
    <w:rsid w:val="007A388D"/>
    <w:rsid w:val="007A4215"/>
    <w:rsid w:val="007A4568"/>
    <w:rsid w:val="007A4CC7"/>
    <w:rsid w:val="007A4F30"/>
    <w:rsid w:val="007A5087"/>
    <w:rsid w:val="007A5E19"/>
    <w:rsid w:val="007A66B7"/>
    <w:rsid w:val="007A6A80"/>
    <w:rsid w:val="007A7894"/>
    <w:rsid w:val="007B0020"/>
    <w:rsid w:val="007B0247"/>
    <w:rsid w:val="007B0B31"/>
    <w:rsid w:val="007B1ADA"/>
    <w:rsid w:val="007B1C8C"/>
    <w:rsid w:val="007B26BF"/>
    <w:rsid w:val="007B31B6"/>
    <w:rsid w:val="007B3865"/>
    <w:rsid w:val="007B38D4"/>
    <w:rsid w:val="007B3ADC"/>
    <w:rsid w:val="007B3EA4"/>
    <w:rsid w:val="007B514B"/>
    <w:rsid w:val="007B515B"/>
    <w:rsid w:val="007B51F2"/>
    <w:rsid w:val="007B5AF5"/>
    <w:rsid w:val="007B6610"/>
    <w:rsid w:val="007B7817"/>
    <w:rsid w:val="007B78BE"/>
    <w:rsid w:val="007B7CA5"/>
    <w:rsid w:val="007C0580"/>
    <w:rsid w:val="007C059A"/>
    <w:rsid w:val="007C0779"/>
    <w:rsid w:val="007C0B8F"/>
    <w:rsid w:val="007C120A"/>
    <w:rsid w:val="007C1EAA"/>
    <w:rsid w:val="007C2620"/>
    <w:rsid w:val="007C2F64"/>
    <w:rsid w:val="007C4A3B"/>
    <w:rsid w:val="007C549B"/>
    <w:rsid w:val="007C5A2E"/>
    <w:rsid w:val="007C5FF1"/>
    <w:rsid w:val="007C699A"/>
    <w:rsid w:val="007C6F44"/>
    <w:rsid w:val="007C72A4"/>
    <w:rsid w:val="007C73C8"/>
    <w:rsid w:val="007C7829"/>
    <w:rsid w:val="007C788E"/>
    <w:rsid w:val="007C7BBB"/>
    <w:rsid w:val="007D0BC3"/>
    <w:rsid w:val="007D132A"/>
    <w:rsid w:val="007D1728"/>
    <w:rsid w:val="007D1C70"/>
    <w:rsid w:val="007D27BE"/>
    <w:rsid w:val="007D29B7"/>
    <w:rsid w:val="007D3004"/>
    <w:rsid w:val="007D31DC"/>
    <w:rsid w:val="007D3926"/>
    <w:rsid w:val="007D3B27"/>
    <w:rsid w:val="007D4C44"/>
    <w:rsid w:val="007D4DBE"/>
    <w:rsid w:val="007D5CB1"/>
    <w:rsid w:val="007D6182"/>
    <w:rsid w:val="007D68DD"/>
    <w:rsid w:val="007D73C4"/>
    <w:rsid w:val="007D7AAC"/>
    <w:rsid w:val="007E0352"/>
    <w:rsid w:val="007E0D84"/>
    <w:rsid w:val="007E1957"/>
    <w:rsid w:val="007E1964"/>
    <w:rsid w:val="007E1ED6"/>
    <w:rsid w:val="007E1F14"/>
    <w:rsid w:val="007E2099"/>
    <w:rsid w:val="007E23FF"/>
    <w:rsid w:val="007E3A0F"/>
    <w:rsid w:val="007E500F"/>
    <w:rsid w:val="007E565A"/>
    <w:rsid w:val="007E62C0"/>
    <w:rsid w:val="007E653B"/>
    <w:rsid w:val="007E7050"/>
    <w:rsid w:val="007E74EF"/>
    <w:rsid w:val="007E766C"/>
    <w:rsid w:val="007E7F70"/>
    <w:rsid w:val="007F0356"/>
    <w:rsid w:val="007F106A"/>
    <w:rsid w:val="007F12CB"/>
    <w:rsid w:val="007F1980"/>
    <w:rsid w:val="007F1B74"/>
    <w:rsid w:val="007F1C0B"/>
    <w:rsid w:val="007F1F84"/>
    <w:rsid w:val="007F21F8"/>
    <w:rsid w:val="007F2919"/>
    <w:rsid w:val="007F3C3E"/>
    <w:rsid w:val="007F4BC8"/>
    <w:rsid w:val="007F5216"/>
    <w:rsid w:val="007F541E"/>
    <w:rsid w:val="007F5709"/>
    <w:rsid w:val="007F583D"/>
    <w:rsid w:val="007F5E4C"/>
    <w:rsid w:val="007F62E8"/>
    <w:rsid w:val="007F687D"/>
    <w:rsid w:val="007F78A2"/>
    <w:rsid w:val="007F7BBF"/>
    <w:rsid w:val="008000B5"/>
    <w:rsid w:val="00800183"/>
    <w:rsid w:val="008002BB"/>
    <w:rsid w:val="00800373"/>
    <w:rsid w:val="0080091A"/>
    <w:rsid w:val="00800BC2"/>
    <w:rsid w:val="00800D50"/>
    <w:rsid w:val="0080157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6E72"/>
    <w:rsid w:val="008071D1"/>
    <w:rsid w:val="0080734F"/>
    <w:rsid w:val="0080791B"/>
    <w:rsid w:val="00807929"/>
    <w:rsid w:val="008079B7"/>
    <w:rsid w:val="00807C23"/>
    <w:rsid w:val="00807C2A"/>
    <w:rsid w:val="0081153D"/>
    <w:rsid w:val="008115BE"/>
    <w:rsid w:val="0081204A"/>
    <w:rsid w:val="0081273A"/>
    <w:rsid w:val="00813800"/>
    <w:rsid w:val="00813F00"/>
    <w:rsid w:val="00814E70"/>
    <w:rsid w:val="0081563F"/>
    <w:rsid w:val="008158D9"/>
    <w:rsid w:val="00815BB7"/>
    <w:rsid w:val="00815D09"/>
    <w:rsid w:val="008165C3"/>
    <w:rsid w:val="00816829"/>
    <w:rsid w:val="00816BF4"/>
    <w:rsid w:val="00816FFD"/>
    <w:rsid w:val="00817500"/>
    <w:rsid w:val="00821014"/>
    <w:rsid w:val="0082122C"/>
    <w:rsid w:val="00821B4D"/>
    <w:rsid w:val="00821E8C"/>
    <w:rsid w:val="00821F54"/>
    <w:rsid w:val="00822653"/>
    <w:rsid w:val="00822885"/>
    <w:rsid w:val="0082322E"/>
    <w:rsid w:val="00823C3F"/>
    <w:rsid w:val="008246DB"/>
    <w:rsid w:val="00824999"/>
    <w:rsid w:val="00825E5E"/>
    <w:rsid w:val="0082634D"/>
    <w:rsid w:val="0082648A"/>
    <w:rsid w:val="00826640"/>
    <w:rsid w:val="00826EEF"/>
    <w:rsid w:val="00830E42"/>
    <w:rsid w:val="0083163B"/>
    <w:rsid w:val="0083251A"/>
    <w:rsid w:val="00832BCC"/>
    <w:rsid w:val="00832F4C"/>
    <w:rsid w:val="00833167"/>
    <w:rsid w:val="0083334C"/>
    <w:rsid w:val="00833C19"/>
    <w:rsid w:val="00834363"/>
    <w:rsid w:val="008347B7"/>
    <w:rsid w:val="0083491A"/>
    <w:rsid w:val="00834AA7"/>
    <w:rsid w:val="008353A3"/>
    <w:rsid w:val="00835B90"/>
    <w:rsid w:val="00835F65"/>
    <w:rsid w:val="008361FA"/>
    <w:rsid w:val="00837248"/>
    <w:rsid w:val="0083727D"/>
    <w:rsid w:val="0083734E"/>
    <w:rsid w:val="0083751E"/>
    <w:rsid w:val="00840BBB"/>
    <w:rsid w:val="00840BF7"/>
    <w:rsid w:val="00840CE5"/>
    <w:rsid w:val="00840ED8"/>
    <w:rsid w:val="008412C8"/>
    <w:rsid w:val="008413D7"/>
    <w:rsid w:val="008418A0"/>
    <w:rsid w:val="0084312E"/>
    <w:rsid w:val="00843552"/>
    <w:rsid w:val="008436C5"/>
    <w:rsid w:val="008443D9"/>
    <w:rsid w:val="0084493A"/>
    <w:rsid w:val="00844E8F"/>
    <w:rsid w:val="00845137"/>
    <w:rsid w:val="008451A1"/>
    <w:rsid w:val="00845A2E"/>
    <w:rsid w:val="008462EF"/>
    <w:rsid w:val="00847A76"/>
    <w:rsid w:val="00847D02"/>
    <w:rsid w:val="00850167"/>
    <w:rsid w:val="008504D0"/>
    <w:rsid w:val="008507C9"/>
    <w:rsid w:val="00851D8C"/>
    <w:rsid w:val="00851F9D"/>
    <w:rsid w:val="00852844"/>
    <w:rsid w:val="0085474D"/>
    <w:rsid w:val="00855544"/>
    <w:rsid w:val="008563F0"/>
    <w:rsid w:val="0085642E"/>
    <w:rsid w:val="0085663E"/>
    <w:rsid w:val="00856971"/>
    <w:rsid w:val="00857C05"/>
    <w:rsid w:val="00860AFE"/>
    <w:rsid w:val="0086128B"/>
    <w:rsid w:val="0086128E"/>
    <w:rsid w:val="0086151A"/>
    <w:rsid w:val="00861A68"/>
    <w:rsid w:val="00862235"/>
    <w:rsid w:val="0086238C"/>
    <w:rsid w:val="00862849"/>
    <w:rsid w:val="008632C5"/>
    <w:rsid w:val="008635CA"/>
    <w:rsid w:val="008637C9"/>
    <w:rsid w:val="00863CC5"/>
    <w:rsid w:val="0086401A"/>
    <w:rsid w:val="00864A83"/>
    <w:rsid w:val="00864C01"/>
    <w:rsid w:val="00864DF9"/>
    <w:rsid w:val="00865E99"/>
    <w:rsid w:val="008662C6"/>
    <w:rsid w:val="0086666D"/>
    <w:rsid w:val="00866AE2"/>
    <w:rsid w:val="00866F98"/>
    <w:rsid w:val="00867160"/>
    <w:rsid w:val="00867582"/>
    <w:rsid w:val="00867ACC"/>
    <w:rsid w:val="008706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270"/>
    <w:rsid w:val="00876424"/>
    <w:rsid w:val="00877742"/>
    <w:rsid w:val="00877E7E"/>
    <w:rsid w:val="00880319"/>
    <w:rsid w:val="00880356"/>
    <w:rsid w:val="008806E5"/>
    <w:rsid w:val="0088076C"/>
    <w:rsid w:val="00880DAE"/>
    <w:rsid w:val="008815B3"/>
    <w:rsid w:val="00881F1A"/>
    <w:rsid w:val="00881FF5"/>
    <w:rsid w:val="008822C8"/>
    <w:rsid w:val="0088309C"/>
    <w:rsid w:val="00883784"/>
    <w:rsid w:val="00883BBA"/>
    <w:rsid w:val="008842C6"/>
    <w:rsid w:val="00884621"/>
    <w:rsid w:val="00884B98"/>
    <w:rsid w:val="008852C4"/>
    <w:rsid w:val="008857BA"/>
    <w:rsid w:val="00885970"/>
    <w:rsid w:val="00885A91"/>
    <w:rsid w:val="00885CB4"/>
    <w:rsid w:val="008860BF"/>
    <w:rsid w:val="00886C7F"/>
    <w:rsid w:val="008872E8"/>
    <w:rsid w:val="00887CEF"/>
    <w:rsid w:val="0089070B"/>
    <w:rsid w:val="0089092D"/>
    <w:rsid w:val="00890F5A"/>
    <w:rsid w:val="00891769"/>
    <w:rsid w:val="00891EAE"/>
    <w:rsid w:val="008926E0"/>
    <w:rsid w:val="00892873"/>
    <w:rsid w:val="0089365D"/>
    <w:rsid w:val="008945D4"/>
    <w:rsid w:val="00894776"/>
    <w:rsid w:val="00894CC9"/>
    <w:rsid w:val="008960B1"/>
    <w:rsid w:val="00896242"/>
    <w:rsid w:val="00896788"/>
    <w:rsid w:val="00896851"/>
    <w:rsid w:val="00896D49"/>
    <w:rsid w:val="008973C9"/>
    <w:rsid w:val="00897A8C"/>
    <w:rsid w:val="00897E0E"/>
    <w:rsid w:val="00897F43"/>
    <w:rsid w:val="008A0199"/>
    <w:rsid w:val="008A14F5"/>
    <w:rsid w:val="008A1587"/>
    <w:rsid w:val="008A1731"/>
    <w:rsid w:val="008A1F6A"/>
    <w:rsid w:val="008A212A"/>
    <w:rsid w:val="008A2640"/>
    <w:rsid w:val="008A31DC"/>
    <w:rsid w:val="008A4284"/>
    <w:rsid w:val="008A440D"/>
    <w:rsid w:val="008A4A84"/>
    <w:rsid w:val="008A4CE5"/>
    <w:rsid w:val="008A4E32"/>
    <w:rsid w:val="008A5688"/>
    <w:rsid w:val="008A5C47"/>
    <w:rsid w:val="008A655A"/>
    <w:rsid w:val="008A68B0"/>
    <w:rsid w:val="008A7029"/>
    <w:rsid w:val="008A7156"/>
    <w:rsid w:val="008A7253"/>
    <w:rsid w:val="008A7D9A"/>
    <w:rsid w:val="008B0923"/>
    <w:rsid w:val="008B0C15"/>
    <w:rsid w:val="008B0CC8"/>
    <w:rsid w:val="008B1761"/>
    <w:rsid w:val="008B1B72"/>
    <w:rsid w:val="008B2452"/>
    <w:rsid w:val="008B3157"/>
    <w:rsid w:val="008B482F"/>
    <w:rsid w:val="008B49FC"/>
    <w:rsid w:val="008B4AD7"/>
    <w:rsid w:val="008B680C"/>
    <w:rsid w:val="008B6928"/>
    <w:rsid w:val="008B6F1F"/>
    <w:rsid w:val="008B7565"/>
    <w:rsid w:val="008B784C"/>
    <w:rsid w:val="008C0596"/>
    <w:rsid w:val="008C11C1"/>
    <w:rsid w:val="008C185E"/>
    <w:rsid w:val="008C1BF1"/>
    <w:rsid w:val="008C1F5F"/>
    <w:rsid w:val="008C2094"/>
    <w:rsid w:val="008C2651"/>
    <w:rsid w:val="008C3364"/>
    <w:rsid w:val="008C344A"/>
    <w:rsid w:val="008C383E"/>
    <w:rsid w:val="008C3938"/>
    <w:rsid w:val="008C3B61"/>
    <w:rsid w:val="008C3E0B"/>
    <w:rsid w:val="008C3FAA"/>
    <w:rsid w:val="008C3FBF"/>
    <w:rsid w:val="008C53D7"/>
    <w:rsid w:val="008C54C1"/>
    <w:rsid w:val="008C55F5"/>
    <w:rsid w:val="008C5DE3"/>
    <w:rsid w:val="008C6A0A"/>
    <w:rsid w:val="008C7439"/>
    <w:rsid w:val="008C7C91"/>
    <w:rsid w:val="008D013F"/>
    <w:rsid w:val="008D014D"/>
    <w:rsid w:val="008D0438"/>
    <w:rsid w:val="008D0EBE"/>
    <w:rsid w:val="008D1D81"/>
    <w:rsid w:val="008D26AB"/>
    <w:rsid w:val="008D2A47"/>
    <w:rsid w:val="008D2E0A"/>
    <w:rsid w:val="008D3268"/>
    <w:rsid w:val="008D459E"/>
    <w:rsid w:val="008D4ED5"/>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65"/>
    <w:rsid w:val="008E1F01"/>
    <w:rsid w:val="008E2045"/>
    <w:rsid w:val="008E26C1"/>
    <w:rsid w:val="008E2866"/>
    <w:rsid w:val="008E2968"/>
    <w:rsid w:val="008E2A13"/>
    <w:rsid w:val="008E31BB"/>
    <w:rsid w:val="008E3664"/>
    <w:rsid w:val="008E49A9"/>
    <w:rsid w:val="008E4C0F"/>
    <w:rsid w:val="008E5E96"/>
    <w:rsid w:val="008E62B1"/>
    <w:rsid w:val="008E756D"/>
    <w:rsid w:val="008E772A"/>
    <w:rsid w:val="008E77DE"/>
    <w:rsid w:val="008E77FD"/>
    <w:rsid w:val="008E7D3C"/>
    <w:rsid w:val="008E7E3A"/>
    <w:rsid w:val="008E7E88"/>
    <w:rsid w:val="008F1E18"/>
    <w:rsid w:val="008F1F0C"/>
    <w:rsid w:val="008F2662"/>
    <w:rsid w:val="008F3DD9"/>
    <w:rsid w:val="008F4E88"/>
    <w:rsid w:val="008F56AF"/>
    <w:rsid w:val="008F5B2B"/>
    <w:rsid w:val="008F5FEA"/>
    <w:rsid w:val="008F63E0"/>
    <w:rsid w:val="008F63F4"/>
    <w:rsid w:val="008F6515"/>
    <w:rsid w:val="008F6A41"/>
    <w:rsid w:val="008F7D44"/>
    <w:rsid w:val="009001E5"/>
    <w:rsid w:val="00900253"/>
    <w:rsid w:val="00900752"/>
    <w:rsid w:val="009010A1"/>
    <w:rsid w:val="0090114E"/>
    <w:rsid w:val="00901FAE"/>
    <w:rsid w:val="00902A82"/>
    <w:rsid w:val="00904896"/>
    <w:rsid w:val="00904C8E"/>
    <w:rsid w:val="0090565D"/>
    <w:rsid w:val="00905B94"/>
    <w:rsid w:val="0090609C"/>
    <w:rsid w:val="00906684"/>
    <w:rsid w:val="009066DC"/>
    <w:rsid w:val="0090759F"/>
    <w:rsid w:val="009077CB"/>
    <w:rsid w:val="00907D13"/>
    <w:rsid w:val="009122AC"/>
    <w:rsid w:val="00913B13"/>
    <w:rsid w:val="009143F4"/>
    <w:rsid w:val="009146F2"/>
    <w:rsid w:val="0091492C"/>
    <w:rsid w:val="00915410"/>
    <w:rsid w:val="00915982"/>
    <w:rsid w:val="00915B1A"/>
    <w:rsid w:val="009163C2"/>
    <w:rsid w:val="0091658A"/>
    <w:rsid w:val="00916783"/>
    <w:rsid w:val="00917952"/>
    <w:rsid w:val="00920B63"/>
    <w:rsid w:val="009216B5"/>
    <w:rsid w:val="00921A2F"/>
    <w:rsid w:val="0092220C"/>
    <w:rsid w:val="00922A31"/>
    <w:rsid w:val="00923829"/>
    <w:rsid w:val="0092387B"/>
    <w:rsid w:val="00923AD0"/>
    <w:rsid w:val="00923C00"/>
    <w:rsid w:val="00923D0F"/>
    <w:rsid w:val="00924DB5"/>
    <w:rsid w:val="00925497"/>
    <w:rsid w:val="009254B7"/>
    <w:rsid w:val="0092552A"/>
    <w:rsid w:val="009259AD"/>
    <w:rsid w:val="00926817"/>
    <w:rsid w:val="009279B1"/>
    <w:rsid w:val="00927C5C"/>
    <w:rsid w:val="00927CC0"/>
    <w:rsid w:val="00931664"/>
    <w:rsid w:val="0093187F"/>
    <w:rsid w:val="00931923"/>
    <w:rsid w:val="00931996"/>
    <w:rsid w:val="009327F3"/>
    <w:rsid w:val="00932803"/>
    <w:rsid w:val="0093288F"/>
    <w:rsid w:val="00932E2E"/>
    <w:rsid w:val="0093342D"/>
    <w:rsid w:val="009336BC"/>
    <w:rsid w:val="00933918"/>
    <w:rsid w:val="00933D26"/>
    <w:rsid w:val="00934C95"/>
    <w:rsid w:val="00934F6F"/>
    <w:rsid w:val="00935622"/>
    <w:rsid w:val="0093573F"/>
    <w:rsid w:val="00935909"/>
    <w:rsid w:val="00935AB4"/>
    <w:rsid w:val="00936148"/>
    <w:rsid w:val="009364B4"/>
    <w:rsid w:val="00936A03"/>
    <w:rsid w:val="00936A55"/>
    <w:rsid w:val="00936DA2"/>
    <w:rsid w:val="00937151"/>
    <w:rsid w:val="0093773C"/>
    <w:rsid w:val="00937BCA"/>
    <w:rsid w:val="00937DA2"/>
    <w:rsid w:val="00940452"/>
    <w:rsid w:val="009408CC"/>
    <w:rsid w:val="00941939"/>
    <w:rsid w:val="00943641"/>
    <w:rsid w:val="00943893"/>
    <w:rsid w:val="009448CD"/>
    <w:rsid w:val="00945120"/>
    <w:rsid w:val="009451EC"/>
    <w:rsid w:val="00945FC3"/>
    <w:rsid w:val="00946CDC"/>
    <w:rsid w:val="00946D12"/>
    <w:rsid w:val="0094715A"/>
    <w:rsid w:val="009502ED"/>
    <w:rsid w:val="00950582"/>
    <w:rsid w:val="00951662"/>
    <w:rsid w:val="00951963"/>
    <w:rsid w:val="00951C49"/>
    <w:rsid w:val="00952A20"/>
    <w:rsid w:val="0095314F"/>
    <w:rsid w:val="009554C4"/>
    <w:rsid w:val="00955805"/>
    <w:rsid w:val="00955806"/>
    <w:rsid w:val="00955C94"/>
    <w:rsid w:val="00956B19"/>
    <w:rsid w:val="0095711C"/>
    <w:rsid w:val="00957EC4"/>
    <w:rsid w:val="00957FC2"/>
    <w:rsid w:val="00960346"/>
    <w:rsid w:val="00960656"/>
    <w:rsid w:val="00961561"/>
    <w:rsid w:val="009615B1"/>
    <w:rsid w:val="00961B50"/>
    <w:rsid w:val="009625EC"/>
    <w:rsid w:val="009627DF"/>
    <w:rsid w:val="00963189"/>
    <w:rsid w:val="009633D2"/>
    <w:rsid w:val="009640B9"/>
    <w:rsid w:val="0096552F"/>
    <w:rsid w:val="00965993"/>
    <w:rsid w:val="00965C4C"/>
    <w:rsid w:val="009666A4"/>
    <w:rsid w:val="009672FC"/>
    <w:rsid w:val="00967A2F"/>
    <w:rsid w:val="00967A3E"/>
    <w:rsid w:val="00967E9C"/>
    <w:rsid w:val="00967F43"/>
    <w:rsid w:val="009708FD"/>
    <w:rsid w:val="009709C6"/>
    <w:rsid w:val="00970BE4"/>
    <w:rsid w:val="00970CE2"/>
    <w:rsid w:val="0097120D"/>
    <w:rsid w:val="00971885"/>
    <w:rsid w:val="00972073"/>
    <w:rsid w:val="00972113"/>
    <w:rsid w:val="009725AF"/>
    <w:rsid w:val="009726AF"/>
    <w:rsid w:val="009726EF"/>
    <w:rsid w:val="0097290A"/>
    <w:rsid w:val="009736F5"/>
    <w:rsid w:val="00974178"/>
    <w:rsid w:val="00974EDB"/>
    <w:rsid w:val="00975183"/>
    <w:rsid w:val="009767D8"/>
    <w:rsid w:val="00976C4F"/>
    <w:rsid w:val="00976FD4"/>
    <w:rsid w:val="00977292"/>
    <w:rsid w:val="00977985"/>
    <w:rsid w:val="00977C35"/>
    <w:rsid w:val="00977C4A"/>
    <w:rsid w:val="00981AE1"/>
    <w:rsid w:val="00982DB8"/>
    <w:rsid w:val="0098346E"/>
    <w:rsid w:val="009839B3"/>
    <w:rsid w:val="00983CBC"/>
    <w:rsid w:val="00983D32"/>
    <w:rsid w:val="00983F85"/>
    <w:rsid w:val="00984620"/>
    <w:rsid w:val="009857F1"/>
    <w:rsid w:val="00986934"/>
    <w:rsid w:val="00986A55"/>
    <w:rsid w:val="00986CEB"/>
    <w:rsid w:val="00986E92"/>
    <w:rsid w:val="009879B0"/>
    <w:rsid w:val="00987EAE"/>
    <w:rsid w:val="009900A9"/>
    <w:rsid w:val="0099087B"/>
    <w:rsid w:val="00990A00"/>
    <w:rsid w:val="0099175E"/>
    <w:rsid w:val="0099182E"/>
    <w:rsid w:val="009918BE"/>
    <w:rsid w:val="009918EA"/>
    <w:rsid w:val="00992CE2"/>
    <w:rsid w:val="00993172"/>
    <w:rsid w:val="0099348D"/>
    <w:rsid w:val="009939BF"/>
    <w:rsid w:val="0099475B"/>
    <w:rsid w:val="00995CB4"/>
    <w:rsid w:val="009967C6"/>
    <w:rsid w:val="00996C89"/>
    <w:rsid w:val="00996F2A"/>
    <w:rsid w:val="00997C89"/>
    <w:rsid w:val="00997DE9"/>
    <w:rsid w:val="009A014C"/>
    <w:rsid w:val="009A0BDE"/>
    <w:rsid w:val="009A0C41"/>
    <w:rsid w:val="009A1822"/>
    <w:rsid w:val="009A2BDF"/>
    <w:rsid w:val="009A33F9"/>
    <w:rsid w:val="009A3CAE"/>
    <w:rsid w:val="009A3DC0"/>
    <w:rsid w:val="009A4D9F"/>
    <w:rsid w:val="009A56BA"/>
    <w:rsid w:val="009A5861"/>
    <w:rsid w:val="009A5F43"/>
    <w:rsid w:val="009A6199"/>
    <w:rsid w:val="009A6A0F"/>
    <w:rsid w:val="009A7932"/>
    <w:rsid w:val="009B0497"/>
    <w:rsid w:val="009B0F2F"/>
    <w:rsid w:val="009B0FDB"/>
    <w:rsid w:val="009B1650"/>
    <w:rsid w:val="009B1CD4"/>
    <w:rsid w:val="009B2766"/>
    <w:rsid w:val="009B37DE"/>
    <w:rsid w:val="009B427A"/>
    <w:rsid w:val="009B449A"/>
    <w:rsid w:val="009B4A48"/>
    <w:rsid w:val="009B54DB"/>
    <w:rsid w:val="009B57CB"/>
    <w:rsid w:val="009B62CB"/>
    <w:rsid w:val="009B63AC"/>
    <w:rsid w:val="009B695E"/>
    <w:rsid w:val="009B7589"/>
    <w:rsid w:val="009B79FB"/>
    <w:rsid w:val="009B7BF8"/>
    <w:rsid w:val="009B7E81"/>
    <w:rsid w:val="009B7F77"/>
    <w:rsid w:val="009C00B8"/>
    <w:rsid w:val="009C052F"/>
    <w:rsid w:val="009C0551"/>
    <w:rsid w:val="009C0C50"/>
    <w:rsid w:val="009C167A"/>
    <w:rsid w:val="009C24BA"/>
    <w:rsid w:val="009C30C7"/>
    <w:rsid w:val="009C31A3"/>
    <w:rsid w:val="009C4262"/>
    <w:rsid w:val="009C4A0E"/>
    <w:rsid w:val="009C50A6"/>
    <w:rsid w:val="009C535E"/>
    <w:rsid w:val="009C602C"/>
    <w:rsid w:val="009C66F7"/>
    <w:rsid w:val="009C6E1F"/>
    <w:rsid w:val="009C7D34"/>
    <w:rsid w:val="009D00FA"/>
    <w:rsid w:val="009D01A5"/>
    <w:rsid w:val="009D0284"/>
    <w:rsid w:val="009D02CF"/>
    <w:rsid w:val="009D066B"/>
    <w:rsid w:val="009D0819"/>
    <w:rsid w:val="009D08F9"/>
    <w:rsid w:val="009D1BBE"/>
    <w:rsid w:val="009D1C7E"/>
    <w:rsid w:val="009D1FE7"/>
    <w:rsid w:val="009D215B"/>
    <w:rsid w:val="009D244F"/>
    <w:rsid w:val="009D3B4B"/>
    <w:rsid w:val="009D43BA"/>
    <w:rsid w:val="009D52F8"/>
    <w:rsid w:val="009D76AE"/>
    <w:rsid w:val="009D7CFD"/>
    <w:rsid w:val="009D7E06"/>
    <w:rsid w:val="009E008E"/>
    <w:rsid w:val="009E12A4"/>
    <w:rsid w:val="009E1801"/>
    <w:rsid w:val="009E23E1"/>
    <w:rsid w:val="009E297C"/>
    <w:rsid w:val="009E29B1"/>
    <w:rsid w:val="009E3933"/>
    <w:rsid w:val="009E47BD"/>
    <w:rsid w:val="009E48E7"/>
    <w:rsid w:val="009E57E5"/>
    <w:rsid w:val="009E57FC"/>
    <w:rsid w:val="009E5B9C"/>
    <w:rsid w:val="009E7BD1"/>
    <w:rsid w:val="009E7C10"/>
    <w:rsid w:val="009E7E9E"/>
    <w:rsid w:val="009F09E1"/>
    <w:rsid w:val="009F0D21"/>
    <w:rsid w:val="009F15B2"/>
    <w:rsid w:val="009F17AF"/>
    <w:rsid w:val="009F1BB5"/>
    <w:rsid w:val="009F29A6"/>
    <w:rsid w:val="009F2EB1"/>
    <w:rsid w:val="009F2FC8"/>
    <w:rsid w:val="009F3342"/>
    <w:rsid w:val="009F3427"/>
    <w:rsid w:val="009F36CC"/>
    <w:rsid w:val="009F3767"/>
    <w:rsid w:val="009F416B"/>
    <w:rsid w:val="009F4A1E"/>
    <w:rsid w:val="009F5E97"/>
    <w:rsid w:val="009F60DF"/>
    <w:rsid w:val="009F62B9"/>
    <w:rsid w:val="009F64E7"/>
    <w:rsid w:val="009F6917"/>
    <w:rsid w:val="009F711D"/>
    <w:rsid w:val="009F759F"/>
    <w:rsid w:val="009F7A26"/>
    <w:rsid w:val="009F7AFE"/>
    <w:rsid w:val="009F7EE9"/>
    <w:rsid w:val="00A005C0"/>
    <w:rsid w:val="00A00669"/>
    <w:rsid w:val="00A013B7"/>
    <w:rsid w:val="00A01545"/>
    <w:rsid w:val="00A02242"/>
    <w:rsid w:val="00A0258C"/>
    <w:rsid w:val="00A0285B"/>
    <w:rsid w:val="00A02B20"/>
    <w:rsid w:val="00A02CE2"/>
    <w:rsid w:val="00A02D3E"/>
    <w:rsid w:val="00A03406"/>
    <w:rsid w:val="00A03933"/>
    <w:rsid w:val="00A03E4D"/>
    <w:rsid w:val="00A051BB"/>
    <w:rsid w:val="00A055BC"/>
    <w:rsid w:val="00A058FD"/>
    <w:rsid w:val="00A0596B"/>
    <w:rsid w:val="00A05DC3"/>
    <w:rsid w:val="00A06742"/>
    <w:rsid w:val="00A06DD9"/>
    <w:rsid w:val="00A07781"/>
    <w:rsid w:val="00A077F3"/>
    <w:rsid w:val="00A07E07"/>
    <w:rsid w:val="00A1103F"/>
    <w:rsid w:val="00A114ED"/>
    <w:rsid w:val="00A11716"/>
    <w:rsid w:val="00A11A35"/>
    <w:rsid w:val="00A11C69"/>
    <w:rsid w:val="00A12037"/>
    <w:rsid w:val="00A1213A"/>
    <w:rsid w:val="00A12641"/>
    <w:rsid w:val="00A138C8"/>
    <w:rsid w:val="00A13955"/>
    <w:rsid w:val="00A13A4E"/>
    <w:rsid w:val="00A144C2"/>
    <w:rsid w:val="00A1503F"/>
    <w:rsid w:val="00A15456"/>
    <w:rsid w:val="00A15FC1"/>
    <w:rsid w:val="00A16577"/>
    <w:rsid w:val="00A169A2"/>
    <w:rsid w:val="00A16F7B"/>
    <w:rsid w:val="00A17017"/>
    <w:rsid w:val="00A17B12"/>
    <w:rsid w:val="00A17BFB"/>
    <w:rsid w:val="00A20561"/>
    <w:rsid w:val="00A2154A"/>
    <w:rsid w:val="00A21EC1"/>
    <w:rsid w:val="00A22ADC"/>
    <w:rsid w:val="00A23A11"/>
    <w:rsid w:val="00A246CC"/>
    <w:rsid w:val="00A24BDA"/>
    <w:rsid w:val="00A24C57"/>
    <w:rsid w:val="00A2508F"/>
    <w:rsid w:val="00A250A0"/>
    <w:rsid w:val="00A26BD2"/>
    <w:rsid w:val="00A277EE"/>
    <w:rsid w:val="00A3060E"/>
    <w:rsid w:val="00A320CA"/>
    <w:rsid w:val="00A3231D"/>
    <w:rsid w:val="00A33411"/>
    <w:rsid w:val="00A33D50"/>
    <w:rsid w:val="00A346ED"/>
    <w:rsid w:val="00A34763"/>
    <w:rsid w:val="00A349AB"/>
    <w:rsid w:val="00A34B50"/>
    <w:rsid w:val="00A34DE0"/>
    <w:rsid w:val="00A35329"/>
    <w:rsid w:val="00A354AC"/>
    <w:rsid w:val="00A358AC"/>
    <w:rsid w:val="00A373CC"/>
    <w:rsid w:val="00A37DA0"/>
    <w:rsid w:val="00A4014E"/>
    <w:rsid w:val="00A4033D"/>
    <w:rsid w:val="00A405E5"/>
    <w:rsid w:val="00A4141C"/>
    <w:rsid w:val="00A4208B"/>
    <w:rsid w:val="00A429F4"/>
    <w:rsid w:val="00A42A8D"/>
    <w:rsid w:val="00A43278"/>
    <w:rsid w:val="00A435B3"/>
    <w:rsid w:val="00A43F13"/>
    <w:rsid w:val="00A44DE7"/>
    <w:rsid w:val="00A45155"/>
    <w:rsid w:val="00A4539F"/>
    <w:rsid w:val="00A45885"/>
    <w:rsid w:val="00A45950"/>
    <w:rsid w:val="00A45981"/>
    <w:rsid w:val="00A45E4F"/>
    <w:rsid w:val="00A4633B"/>
    <w:rsid w:val="00A467EE"/>
    <w:rsid w:val="00A470B2"/>
    <w:rsid w:val="00A47747"/>
    <w:rsid w:val="00A50666"/>
    <w:rsid w:val="00A50E50"/>
    <w:rsid w:val="00A5145D"/>
    <w:rsid w:val="00A51663"/>
    <w:rsid w:val="00A51826"/>
    <w:rsid w:val="00A5359F"/>
    <w:rsid w:val="00A535E1"/>
    <w:rsid w:val="00A537EE"/>
    <w:rsid w:val="00A53B97"/>
    <w:rsid w:val="00A54421"/>
    <w:rsid w:val="00A5451C"/>
    <w:rsid w:val="00A55546"/>
    <w:rsid w:val="00A561FB"/>
    <w:rsid w:val="00A563DC"/>
    <w:rsid w:val="00A56A20"/>
    <w:rsid w:val="00A56C37"/>
    <w:rsid w:val="00A57B91"/>
    <w:rsid w:val="00A57C32"/>
    <w:rsid w:val="00A6036A"/>
    <w:rsid w:val="00A60470"/>
    <w:rsid w:val="00A608CC"/>
    <w:rsid w:val="00A621CF"/>
    <w:rsid w:val="00A625F1"/>
    <w:rsid w:val="00A630AD"/>
    <w:rsid w:val="00A63394"/>
    <w:rsid w:val="00A648A3"/>
    <w:rsid w:val="00A64D06"/>
    <w:rsid w:val="00A6520B"/>
    <w:rsid w:val="00A653D4"/>
    <w:rsid w:val="00A65AEA"/>
    <w:rsid w:val="00A65F26"/>
    <w:rsid w:val="00A66EB6"/>
    <w:rsid w:val="00A67F6A"/>
    <w:rsid w:val="00A7022E"/>
    <w:rsid w:val="00A70502"/>
    <w:rsid w:val="00A70BA7"/>
    <w:rsid w:val="00A70BCD"/>
    <w:rsid w:val="00A71212"/>
    <w:rsid w:val="00A716AE"/>
    <w:rsid w:val="00A71C5D"/>
    <w:rsid w:val="00A724B3"/>
    <w:rsid w:val="00A7257B"/>
    <w:rsid w:val="00A72BA9"/>
    <w:rsid w:val="00A72CAD"/>
    <w:rsid w:val="00A72D81"/>
    <w:rsid w:val="00A72EE0"/>
    <w:rsid w:val="00A73127"/>
    <w:rsid w:val="00A73D6C"/>
    <w:rsid w:val="00A744D3"/>
    <w:rsid w:val="00A74E1B"/>
    <w:rsid w:val="00A75401"/>
    <w:rsid w:val="00A755AF"/>
    <w:rsid w:val="00A75BB2"/>
    <w:rsid w:val="00A75EC8"/>
    <w:rsid w:val="00A76107"/>
    <w:rsid w:val="00A7635D"/>
    <w:rsid w:val="00A77F5F"/>
    <w:rsid w:val="00A80505"/>
    <w:rsid w:val="00A80AF4"/>
    <w:rsid w:val="00A8391F"/>
    <w:rsid w:val="00A83F2F"/>
    <w:rsid w:val="00A847C4"/>
    <w:rsid w:val="00A85145"/>
    <w:rsid w:val="00A85187"/>
    <w:rsid w:val="00A85C7A"/>
    <w:rsid w:val="00A85E1C"/>
    <w:rsid w:val="00A867D0"/>
    <w:rsid w:val="00A86B73"/>
    <w:rsid w:val="00A870F1"/>
    <w:rsid w:val="00A871A3"/>
    <w:rsid w:val="00A874FA"/>
    <w:rsid w:val="00A876A7"/>
    <w:rsid w:val="00A87A3D"/>
    <w:rsid w:val="00A90773"/>
    <w:rsid w:val="00A9125C"/>
    <w:rsid w:val="00A913EB"/>
    <w:rsid w:val="00A916EA"/>
    <w:rsid w:val="00A91E00"/>
    <w:rsid w:val="00A9214C"/>
    <w:rsid w:val="00A92586"/>
    <w:rsid w:val="00A92FB5"/>
    <w:rsid w:val="00A9318B"/>
    <w:rsid w:val="00A93215"/>
    <w:rsid w:val="00A9327A"/>
    <w:rsid w:val="00A93551"/>
    <w:rsid w:val="00A93C97"/>
    <w:rsid w:val="00A94570"/>
    <w:rsid w:val="00A9468B"/>
    <w:rsid w:val="00A94D21"/>
    <w:rsid w:val="00A950D2"/>
    <w:rsid w:val="00A95298"/>
    <w:rsid w:val="00A96430"/>
    <w:rsid w:val="00A96572"/>
    <w:rsid w:val="00A9705E"/>
    <w:rsid w:val="00A973F0"/>
    <w:rsid w:val="00AA0D23"/>
    <w:rsid w:val="00AA0F21"/>
    <w:rsid w:val="00AA1350"/>
    <w:rsid w:val="00AA13CF"/>
    <w:rsid w:val="00AA13E3"/>
    <w:rsid w:val="00AA1A39"/>
    <w:rsid w:val="00AA2AF9"/>
    <w:rsid w:val="00AA4138"/>
    <w:rsid w:val="00AA4150"/>
    <w:rsid w:val="00AA43AD"/>
    <w:rsid w:val="00AA4BEA"/>
    <w:rsid w:val="00AA4DAA"/>
    <w:rsid w:val="00AA6BEE"/>
    <w:rsid w:val="00AA7500"/>
    <w:rsid w:val="00AB00A0"/>
    <w:rsid w:val="00AB01CE"/>
    <w:rsid w:val="00AB0D37"/>
    <w:rsid w:val="00AB15D5"/>
    <w:rsid w:val="00AB1CE7"/>
    <w:rsid w:val="00AB2C8D"/>
    <w:rsid w:val="00AB3196"/>
    <w:rsid w:val="00AB43DB"/>
    <w:rsid w:val="00AB585C"/>
    <w:rsid w:val="00AB5865"/>
    <w:rsid w:val="00AB5B5C"/>
    <w:rsid w:val="00AB5D79"/>
    <w:rsid w:val="00AB62E9"/>
    <w:rsid w:val="00AB6307"/>
    <w:rsid w:val="00AB6EA2"/>
    <w:rsid w:val="00AB76EC"/>
    <w:rsid w:val="00AC09C9"/>
    <w:rsid w:val="00AC0B80"/>
    <w:rsid w:val="00AC0DF0"/>
    <w:rsid w:val="00AC1033"/>
    <w:rsid w:val="00AC1853"/>
    <w:rsid w:val="00AC332C"/>
    <w:rsid w:val="00AC3F3E"/>
    <w:rsid w:val="00AC4E4A"/>
    <w:rsid w:val="00AC5D6C"/>
    <w:rsid w:val="00AC6691"/>
    <w:rsid w:val="00AC686D"/>
    <w:rsid w:val="00AC77A7"/>
    <w:rsid w:val="00AC7AD2"/>
    <w:rsid w:val="00AC7F42"/>
    <w:rsid w:val="00AC7FED"/>
    <w:rsid w:val="00AD1127"/>
    <w:rsid w:val="00AD1632"/>
    <w:rsid w:val="00AD183F"/>
    <w:rsid w:val="00AD257A"/>
    <w:rsid w:val="00AD3035"/>
    <w:rsid w:val="00AD382A"/>
    <w:rsid w:val="00AD40CE"/>
    <w:rsid w:val="00AD457F"/>
    <w:rsid w:val="00AD4947"/>
    <w:rsid w:val="00AD4C75"/>
    <w:rsid w:val="00AD5BB5"/>
    <w:rsid w:val="00AD5BEF"/>
    <w:rsid w:val="00AD5DAD"/>
    <w:rsid w:val="00AD62A9"/>
    <w:rsid w:val="00AD6474"/>
    <w:rsid w:val="00AD652E"/>
    <w:rsid w:val="00AD6698"/>
    <w:rsid w:val="00AD6F43"/>
    <w:rsid w:val="00AD703F"/>
    <w:rsid w:val="00AD7922"/>
    <w:rsid w:val="00AE0BB0"/>
    <w:rsid w:val="00AE0C09"/>
    <w:rsid w:val="00AE0EDC"/>
    <w:rsid w:val="00AE139F"/>
    <w:rsid w:val="00AE1F22"/>
    <w:rsid w:val="00AE248B"/>
    <w:rsid w:val="00AE2BCB"/>
    <w:rsid w:val="00AE384C"/>
    <w:rsid w:val="00AE3A5A"/>
    <w:rsid w:val="00AE4C01"/>
    <w:rsid w:val="00AE54D8"/>
    <w:rsid w:val="00AE6837"/>
    <w:rsid w:val="00AE6BDB"/>
    <w:rsid w:val="00AF06C1"/>
    <w:rsid w:val="00AF1167"/>
    <w:rsid w:val="00AF15EA"/>
    <w:rsid w:val="00AF1A27"/>
    <w:rsid w:val="00AF2793"/>
    <w:rsid w:val="00AF281A"/>
    <w:rsid w:val="00AF2DAA"/>
    <w:rsid w:val="00AF2EB2"/>
    <w:rsid w:val="00AF381E"/>
    <w:rsid w:val="00AF3CE1"/>
    <w:rsid w:val="00AF3DFD"/>
    <w:rsid w:val="00AF4C6E"/>
    <w:rsid w:val="00AF4EFD"/>
    <w:rsid w:val="00AF4F1E"/>
    <w:rsid w:val="00AF4FB5"/>
    <w:rsid w:val="00AF55F5"/>
    <w:rsid w:val="00AF5D96"/>
    <w:rsid w:val="00AF7367"/>
    <w:rsid w:val="00AF73C9"/>
    <w:rsid w:val="00AF764C"/>
    <w:rsid w:val="00AF7ACC"/>
    <w:rsid w:val="00AF7C21"/>
    <w:rsid w:val="00AF7CDF"/>
    <w:rsid w:val="00B00578"/>
    <w:rsid w:val="00B00C57"/>
    <w:rsid w:val="00B01091"/>
    <w:rsid w:val="00B0284A"/>
    <w:rsid w:val="00B02D6F"/>
    <w:rsid w:val="00B045A4"/>
    <w:rsid w:val="00B04CEA"/>
    <w:rsid w:val="00B0563E"/>
    <w:rsid w:val="00B0580F"/>
    <w:rsid w:val="00B05D62"/>
    <w:rsid w:val="00B060A2"/>
    <w:rsid w:val="00B06818"/>
    <w:rsid w:val="00B07694"/>
    <w:rsid w:val="00B11D8D"/>
    <w:rsid w:val="00B11FD2"/>
    <w:rsid w:val="00B12C99"/>
    <w:rsid w:val="00B13593"/>
    <w:rsid w:val="00B14DEF"/>
    <w:rsid w:val="00B14F57"/>
    <w:rsid w:val="00B14F6A"/>
    <w:rsid w:val="00B15298"/>
    <w:rsid w:val="00B1600B"/>
    <w:rsid w:val="00B16177"/>
    <w:rsid w:val="00B161F1"/>
    <w:rsid w:val="00B1634B"/>
    <w:rsid w:val="00B16E3C"/>
    <w:rsid w:val="00B175F9"/>
    <w:rsid w:val="00B179C1"/>
    <w:rsid w:val="00B17AB1"/>
    <w:rsid w:val="00B205A4"/>
    <w:rsid w:val="00B21E96"/>
    <w:rsid w:val="00B22108"/>
    <w:rsid w:val="00B227A7"/>
    <w:rsid w:val="00B22AAF"/>
    <w:rsid w:val="00B22E83"/>
    <w:rsid w:val="00B23538"/>
    <w:rsid w:val="00B24D64"/>
    <w:rsid w:val="00B24FE4"/>
    <w:rsid w:val="00B251AD"/>
    <w:rsid w:val="00B25722"/>
    <w:rsid w:val="00B264D4"/>
    <w:rsid w:val="00B26707"/>
    <w:rsid w:val="00B26CD8"/>
    <w:rsid w:val="00B26EB5"/>
    <w:rsid w:val="00B273E9"/>
    <w:rsid w:val="00B27D0A"/>
    <w:rsid w:val="00B315B0"/>
    <w:rsid w:val="00B320EC"/>
    <w:rsid w:val="00B329FD"/>
    <w:rsid w:val="00B3315D"/>
    <w:rsid w:val="00B335C8"/>
    <w:rsid w:val="00B34657"/>
    <w:rsid w:val="00B34834"/>
    <w:rsid w:val="00B34B34"/>
    <w:rsid w:val="00B34C41"/>
    <w:rsid w:val="00B34C6E"/>
    <w:rsid w:val="00B34DB4"/>
    <w:rsid w:val="00B35185"/>
    <w:rsid w:val="00B35691"/>
    <w:rsid w:val="00B36100"/>
    <w:rsid w:val="00B36CF3"/>
    <w:rsid w:val="00B36FCB"/>
    <w:rsid w:val="00B370F2"/>
    <w:rsid w:val="00B3728A"/>
    <w:rsid w:val="00B37D73"/>
    <w:rsid w:val="00B40295"/>
    <w:rsid w:val="00B40587"/>
    <w:rsid w:val="00B40B4D"/>
    <w:rsid w:val="00B416AF"/>
    <w:rsid w:val="00B41B41"/>
    <w:rsid w:val="00B42065"/>
    <w:rsid w:val="00B42E9D"/>
    <w:rsid w:val="00B4314F"/>
    <w:rsid w:val="00B43718"/>
    <w:rsid w:val="00B4602B"/>
    <w:rsid w:val="00B4639C"/>
    <w:rsid w:val="00B4677C"/>
    <w:rsid w:val="00B478F4"/>
    <w:rsid w:val="00B47FE2"/>
    <w:rsid w:val="00B510E7"/>
    <w:rsid w:val="00B513A8"/>
    <w:rsid w:val="00B51748"/>
    <w:rsid w:val="00B5218F"/>
    <w:rsid w:val="00B529F6"/>
    <w:rsid w:val="00B52E27"/>
    <w:rsid w:val="00B53574"/>
    <w:rsid w:val="00B53D28"/>
    <w:rsid w:val="00B54793"/>
    <w:rsid w:val="00B547BB"/>
    <w:rsid w:val="00B55DA7"/>
    <w:rsid w:val="00B55FD9"/>
    <w:rsid w:val="00B560A9"/>
    <w:rsid w:val="00B56C6B"/>
    <w:rsid w:val="00B56E1A"/>
    <w:rsid w:val="00B573CE"/>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6C0"/>
    <w:rsid w:val="00B65CA5"/>
    <w:rsid w:val="00B65F88"/>
    <w:rsid w:val="00B66175"/>
    <w:rsid w:val="00B661FC"/>
    <w:rsid w:val="00B66364"/>
    <w:rsid w:val="00B66D1C"/>
    <w:rsid w:val="00B66F2B"/>
    <w:rsid w:val="00B671E0"/>
    <w:rsid w:val="00B67C84"/>
    <w:rsid w:val="00B7098D"/>
    <w:rsid w:val="00B7103B"/>
    <w:rsid w:val="00B7221A"/>
    <w:rsid w:val="00B72248"/>
    <w:rsid w:val="00B73990"/>
    <w:rsid w:val="00B7490F"/>
    <w:rsid w:val="00B75CEB"/>
    <w:rsid w:val="00B765A6"/>
    <w:rsid w:val="00B76927"/>
    <w:rsid w:val="00B76EB3"/>
    <w:rsid w:val="00B771B3"/>
    <w:rsid w:val="00B77427"/>
    <w:rsid w:val="00B7749D"/>
    <w:rsid w:val="00B775C7"/>
    <w:rsid w:val="00B805F3"/>
    <w:rsid w:val="00B808CB"/>
    <w:rsid w:val="00B8156C"/>
    <w:rsid w:val="00B81816"/>
    <w:rsid w:val="00B81D17"/>
    <w:rsid w:val="00B828F0"/>
    <w:rsid w:val="00B82EB5"/>
    <w:rsid w:val="00B83377"/>
    <w:rsid w:val="00B83D7E"/>
    <w:rsid w:val="00B8434D"/>
    <w:rsid w:val="00B86085"/>
    <w:rsid w:val="00B862C2"/>
    <w:rsid w:val="00B86373"/>
    <w:rsid w:val="00B864C0"/>
    <w:rsid w:val="00B864D3"/>
    <w:rsid w:val="00B867A6"/>
    <w:rsid w:val="00B873EC"/>
    <w:rsid w:val="00B87A40"/>
    <w:rsid w:val="00B87B59"/>
    <w:rsid w:val="00B9128B"/>
    <w:rsid w:val="00B9257D"/>
    <w:rsid w:val="00B9361A"/>
    <w:rsid w:val="00B9392A"/>
    <w:rsid w:val="00B941F8"/>
    <w:rsid w:val="00B95170"/>
    <w:rsid w:val="00B95D7C"/>
    <w:rsid w:val="00B96F40"/>
    <w:rsid w:val="00BA0533"/>
    <w:rsid w:val="00BA078A"/>
    <w:rsid w:val="00BA0996"/>
    <w:rsid w:val="00BA1311"/>
    <w:rsid w:val="00BA1684"/>
    <w:rsid w:val="00BA19CD"/>
    <w:rsid w:val="00BA1C66"/>
    <w:rsid w:val="00BA2BA3"/>
    <w:rsid w:val="00BA2C59"/>
    <w:rsid w:val="00BA3702"/>
    <w:rsid w:val="00BA3846"/>
    <w:rsid w:val="00BA3D7F"/>
    <w:rsid w:val="00BA4590"/>
    <w:rsid w:val="00BA549D"/>
    <w:rsid w:val="00BA592E"/>
    <w:rsid w:val="00BA5D64"/>
    <w:rsid w:val="00BA68C4"/>
    <w:rsid w:val="00BA77CE"/>
    <w:rsid w:val="00BB003A"/>
    <w:rsid w:val="00BB11FE"/>
    <w:rsid w:val="00BB1272"/>
    <w:rsid w:val="00BB20B6"/>
    <w:rsid w:val="00BB2439"/>
    <w:rsid w:val="00BB5355"/>
    <w:rsid w:val="00BB598A"/>
    <w:rsid w:val="00BB644C"/>
    <w:rsid w:val="00BB6738"/>
    <w:rsid w:val="00BB759A"/>
    <w:rsid w:val="00BB7EC2"/>
    <w:rsid w:val="00BC1C52"/>
    <w:rsid w:val="00BC2E9C"/>
    <w:rsid w:val="00BC3857"/>
    <w:rsid w:val="00BC3B86"/>
    <w:rsid w:val="00BC3C25"/>
    <w:rsid w:val="00BC42D9"/>
    <w:rsid w:val="00BC431B"/>
    <w:rsid w:val="00BC5829"/>
    <w:rsid w:val="00BC597D"/>
    <w:rsid w:val="00BC5B93"/>
    <w:rsid w:val="00BC5E4F"/>
    <w:rsid w:val="00BC67EC"/>
    <w:rsid w:val="00BC6A57"/>
    <w:rsid w:val="00BC7777"/>
    <w:rsid w:val="00BD0055"/>
    <w:rsid w:val="00BD0AFB"/>
    <w:rsid w:val="00BD0B50"/>
    <w:rsid w:val="00BD284F"/>
    <w:rsid w:val="00BD3043"/>
    <w:rsid w:val="00BD37F7"/>
    <w:rsid w:val="00BD3917"/>
    <w:rsid w:val="00BD3CD6"/>
    <w:rsid w:val="00BD517D"/>
    <w:rsid w:val="00BD5B53"/>
    <w:rsid w:val="00BD649E"/>
    <w:rsid w:val="00BD6825"/>
    <w:rsid w:val="00BD6B5C"/>
    <w:rsid w:val="00BD7644"/>
    <w:rsid w:val="00BD792D"/>
    <w:rsid w:val="00BD7DC9"/>
    <w:rsid w:val="00BE05EF"/>
    <w:rsid w:val="00BE0793"/>
    <w:rsid w:val="00BE167B"/>
    <w:rsid w:val="00BE1735"/>
    <w:rsid w:val="00BE1B8D"/>
    <w:rsid w:val="00BE230B"/>
    <w:rsid w:val="00BE2BF7"/>
    <w:rsid w:val="00BE33E1"/>
    <w:rsid w:val="00BE34DA"/>
    <w:rsid w:val="00BE3E3E"/>
    <w:rsid w:val="00BE4A84"/>
    <w:rsid w:val="00BE5A10"/>
    <w:rsid w:val="00BE5E69"/>
    <w:rsid w:val="00BE5F16"/>
    <w:rsid w:val="00BE6056"/>
    <w:rsid w:val="00BE6351"/>
    <w:rsid w:val="00BE6D83"/>
    <w:rsid w:val="00BE6E2D"/>
    <w:rsid w:val="00BE6E2F"/>
    <w:rsid w:val="00BE74E6"/>
    <w:rsid w:val="00BE7F28"/>
    <w:rsid w:val="00BE7F92"/>
    <w:rsid w:val="00BF0208"/>
    <w:rsid w:val="00BF03DB"/>
    <w:rsid w:val="00BF0891"/>
    <w:rsid w:val="00BF0B79"/>
    <w:rsid w:val="00BF0C1B"/>
    <w:rsid w:val="00BF13AA"/>
    <w:rsid w:val="00BF2220"/>
    <w:rsid w:val="00BF22B6"/>
    <w:rsid w:val="00BF31F8"/>
    <w:rsid w:val="00BF32C1"/>
    <w:rsid w:val="00BF36AC"/>
    <w:rsid w:val="00BF4059"/>
    <w:rsid w:val="00BF43C7"/>
    <w:rsid w:val="00BF45BE"/>
    <w:rsid w:val="00BF4E9D"/>
    <w:rsid w:val="00BF52B4"/>
    <w:rsid w:val="00BF59AA"/>
    <w:rsid w:val="00BF5E45"/>
    <w:rsid w:val="00BF5F64"/>
    <w:rsid w:val="00BF6652"/>
    <w:rsid w:val="00BF66E2"/>
    <w:rsid w:val="00BF6832"/>
    <w:rsid w:val="00BF68FB"/>
    <w:rsid w:val="00BF6B47"/>
    <w:rsid w:val="00BF7340"/>
    <w:rsid w:val="00BF73A5"/>
    <w:rsid w:val="00BF7754"/>
    <w:rsid w:val="00BF7AA4"/>
    <w:rsid w:val="00BF7BAE"/>
    <w:rsid w:val="00BF7D95"/>
    <w:rsid w:val="00BF7F90"/>
    <w:rsid w:val="00C00391"/>
    <w:rsid w:val="00C00456"/>
    <w:rsid w:val="00C0096C"/>
    <w:rsid w:val="00C017BD"/>
    <w:rsid w:val="00C01AC8"/>
    <w:rsid w:val="00C01B34"/>
    <w:rsid w:val="00C01F64"/>
    <w:rsid w:val="00C02290"/>
    <w:rsid w:val="00C02457"/>
    <w:rsid w:val="00C02590"/>
    <w:rsid w:val="00C02693"/>
    <w:rsid w:val="00C02E0A"/>
    <w:rsid w:val="00C0488D"/>
    <w:rsid w:val="00C04FAE"/>
    <w:rsid w:val="00C06827"/>
    <w:rsid w:val="00C0719D"/>
    <w:rsid w:val="00C074B1"/>
    <w:rsid w:val="00C10681"/>
    <w:rsid w:val="00C10C27"/>
    <w:rsid w:val="00C11815"/>
    <w:rsid w:val="00C11AE5"/>
    <w:rsid w:val="00C11C2D"/>
    <w:rsid w:val="00C11C9D"/>
    <w:rsid w:val="00C11E46"/>
    <w:rsid w:val="00C11E4C"/>
    <w:rsid w:val="00C12459"/>
    <w:rsid w:val="00C1273F"/>
    <w:rsid w:val="00C149EC"/>
    <w:rsid w:val="00C14DD8"/>
    <w:rsid w:val="00C15743"/>
    <w:rsid w:val="00C1580B"/>
    <w:rsid w:val="00C15FD7"/>
    <w:rsid w:val="00C1616D"/>
    <w:rsid w:val="00C1754C"/>
    <w:rsid w:val="00C2040C"/>
    <w:rsid w:val="00C20580"/>
    <w:rsid w:val="00C215B2"/>
    <w:rsid w:val="00C21B99"/>
    <w:rsid w:val="00C22B0B"/>
    <w:rsid w:val="00C22C7F"/>
    <w:rsid w:val="00C22D45"/>
    <w:rsid w:val="00C233BB"/>
    <w:rsid w:val="00C23FBF"/>
    <w:rsid w:val="00C240EE"/>
    <w:rsid w:val="00C24475"/>
    <w:rsid w:val="00C244B4"/>
    <w:rsid w:val="00C250F8"/>
    <w:rsid w:val="00C25A0C"/>
    <w:rsid w:val="00C25DB4"/>
    <w:rsid w:val="00C26026"/>
    <w:rsid w:val="00C261A2"/>
    <w:rsid w:val="00C2691D"/>
    <w:rsid w:val="00C2777E"/>
    <w:rsid w:val="00C27DA9"/>
    <w:rsid w:val="00C3034C"/>
    <w:rsid w:val="00C309F8"/>
    <w:rsid w:val="00C30AAA"/>
    <w:rsid w:val="00C3234B"/>
    <w:rsid w:val="00C32D5E"/>
    <w:rsid w:val="00C334C6"/>
    <w:rsid w:val="00C3466E"/>
    <w:rsid w:val="00C35B91"/>
    <w:rsid w:val="00C361E6"/>
    <w:rsid w:val="00C36376"/>
    <w:rsid w:val="00C3666F"/>
    <w:rsid w:val="00C36DCB"/>
    <w:rsid w:val="00C370A0"/>
    <w:rsid w:val="00C401BF"/>
    <w:rsid w:val="00C41895"/>
    <w:rsid w:val="00C41914"/>
    <w:rsid w:val="00C42843"/>
    <w:rsid w:val="00C43334"/>
    <w:rsid w:val="00C446D8"/>
    <w:rsid w:val="00C4472C"/>
    <w:rsid w:val="00C44B51"/>
    <w:rsid w:val="00C44C62"/>
    <w:rsid w:val="00C44D25"/>
    <w:rsid w:val="00C44E67"/>
    <w:rsid w:val="00C45806"/>
    <w:rsid w:val="00C45B07"/>
    <w:rsid w:val="00C45D90"/>
    <w:rsid w:val="00C45DBB"/>
    <w:rsid w:val="00C45DED"/>
    <w:rsid w:val="00C460DB"/>
    <w:rsid w:val="00C47638"/>
    <w:rsid w:val="00C50E06"/>
    <w:rsid w:val="00C50FD1"/>
    <w:rsid w:val="00C513FE"/>
    <w:rsid w:val="00C5259D"/>
    <w:rsid w:val="00C53386"/>
    <w:rsid w:val="00C5344E"/>
    <w:rsid w:val="00C5511E"/>
    <w:rsid w:val="00C5536D"/>
    <w:rsid w:val="00C55706"/>
    <w:rsid w:val="00C55A13"/>
    <w:rsid w:val="00C55AFD"/>
    <w:rsid w:val="00C55C2B"/>
    <w:rsid w:val="00C55F18"/>
    <w:rsid w:val="00C5671A"/>
    <w:rsid w:val="00C57198"/>
    <w:rsid w:val="00C605A6"/>
    <w:rsid w:val="00C606D8"/>
    <w:rsid w:val="00C6077E"/>
    <w:rsid w:val="00C61967"/>
    <w:rsid w:val="00C62686"/>
    <w:rsid w:val="00C65196"/>
    <w:rsid w:val="00C657CB"/>
    <w:rsid w:val="00C67471"/>
    <w:rsid w:val="00C67540"/>
    <w:rsid w:val="00C679ED"/>
    <w:rsid w:val="00C71DCB"/>
    <w:rsid w:val="00C72172"/>
    <w:rsid w:val="00C73697"/>
    <w:rsid w:val="00C7376B"/>
    <w:rsid w:val="00C73834"/>
    <w:rsid w:val="00C739A3"/>
    <w:rsid w:val="00C7400A"/>
    <w:rsid w:val="00C7499D"/>
    <w:rsid w:val="00C74BB7"/>
    <w:rsid w:val="00C75529"/>
    <w:rsid w:val="00C75B11"/>
    <w:rsid w:val="00C76279"/>
    <w:rsid w:val="00C76974"/>
    <w:rsid w:val="00C769FC"/>
    <w:rsid w:val="00C76B43"/>
    <w:rsid w:val="00C76E6A"/>
    <w:rsid w:val="00C77009"/>
    <w:rsid w:val="00C77A44"/>
    <w:rsid w:val="00C77B89"/>
    <w:rsid w:val="00C80E19"/>
    <w:rsid w:val="00C8176B"/>
    <w:rsid w:val="00C818A2"/>
    <w:rsid w:val="00C81FAE"/>
    <w:rsid w:val="00C82479"/>
    <w:rsid w:val="00C839FA"/>
    <w:rsid w:val="00C847D6"/>
    <w:rsid w:val="00C84B4A"/>
    <w:rsid w:val="00C8589E"/>
    <w:rsid w:val="00C85DFD"/>
    <w:rsid w:val="00C860D5"/>
    <w:rsid w:val="00C86441"/>
    <w:rsid w:val="00C86FBA"/>
    <w:rsid w:val="00C90AEF"/>
    <w:rsid w:val="00C90B4B"/>
    <w:rsid w:val="00C91E90"/>
    <w:rsid w:val="00C9216F"/>
    <w:rsid w:val="00C9249C"/>
    <w:rsid w:val="00C9253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B83"/>
    <w:rsid w:val="00CA1E1E"/>
    <w:rsid w:val="00CA1EAF"/>
    <w:rsid w:val="00CA26FC"/>
    <w:rsid w:val="00CA270C"/>
    <w:rsid w:val="00CA35B0"/>
    <w:rsid w:val="00CA3A03"/>
    <w:rsid w:val="00CA446D"/>
    <w:rsid w:val="00CA45B7"/>
    <w:rsid w:val="00CA4E73"/>
    <w:rsid w:val="00CA564D"/>
    <w:rsid w:val="00CA5BCE"/>
    <w:rsid w:val="00CA5C1F"/>
    <w:rsid w:val="00CA5CFA"/>
    <w:rsid w:val="00CA62CD"/>
    <w:rsid w:val="00CA62EA"/>
    <w:rsid w:val="00CA68D0"/>
    <w:rsid w:val="00CA7116"/>
    <w:rsid w:val="00CA75BC"/>
    <w:rsid w:val="00CA77E7"/>
    <w:rsid w:val="00CB01D3"/>
    <w:rsid w:val="00CB03EC"/>
    <w:rsid w:val="00CB0947"/>
    <w:rsid w:val="00CB0F58"/>
    <w:rsid w:val="00CB1231"/>
    <w:rsid w:val="00CB14CC"/>
    <w:rsid w:val="00CB158F"/>
    <w:rsid w:val="00CB2238"/>
    <w:rsid w:val="00CB24B6"/>
    <w:rsid w:val="00CB3334"/>
    <w:rsid w:val="00CB3F4F"/>
    <w:rsid w:val="00CB41FE"/>
    <w:rsid w:val="00CB4522"/>
    <w:rsid w:val="00CB49F9"/>
    <w:rsid w:val="00CB4AFE"/>
    <w:rsid w:val="00CB4D3A"/>
    <w:rsid w:val="00CB4D41"/>
    <w:rsid w:val="00CB510C"/>
    <w:rsid w:val="00CB58D5"/>
    <w:rsid w:val="00CB6B68"/>
    <w:rsid w:val="00CB6EB0"/>
    <w:rsid w:val="00CC14FD"/>
    <w:rsid w:val="00CC155C"/>
    <w:rsid w:val="00CC1765"/>
    <w:rsid w:val="00CC1EDB"/>
    <w:rsid w:val="00CC331B"/>
    <w:rsid w:val="00CC4619"/>
    <w:rsid w:val="00CC475E"/>
    <w:rsid w:val="00CC5B26"/>
    <w:rsid w:val="00CC63FA"/>
    <w:rsid w:val="00CC66BE"/>
    <w:rsid w:val="00CC6CEC"/>
    <w:rsid w:val="00CC71E0"/>
    <w:rsid w:val="00CC73C7"/>
    <w:rsid w:val="00CC79F8"/>
    <w:rsid w:val="00CC7C67"/>
    <w:rsid w:val="00CD12A0"/>
    <w:rsid w:val="00CD1FC7"/>
    <w:rsid w:val="00CD25FF"/>
    <w:rsid w:val="00CD427E"/>
    <w:rsid w:val="00CD42BE"/>
    <w:rsid w:val="00CD489E"/>
    <w:rsid w:val="00CD4D51"/>
    <w:rsid w:val="00CD4E92"/>
    <w:rsid w:val="00CD5B53"/>
    <w:rsid w:val="00CD5F1D"/>
    <w:rsid w:val="00CD6BE6"/>
    <w:rsid w:val="00CD7155"/>
    <w:rsid w:val="00CD7475"/>
    <w:rsid w:val="00CD7AB2"/>
    <w:rsid w:val="00CE0871"/>
    <w:rsid w:val="00CE0BA6"/>
    <w:rsid w:val="00CE0DB9"/>
    <w:rsid w:val="00CE0F50"/>
    <w:rsid w:val="00CE1A85"/>
    <w:rsid w:val="00CE1F99"/>
    <w:rsid w:val="00CE2070"/>
    <w:rsid w:val="00CE39AA"/>
    <w:rsid w:val="00CE464B"/>
    <w:rsid w:val="00CE4804"/>
    <w:rsid w:val="00CE4C19"/>
    <w:rsid w:val="00CE58C4"/>
    <w:rsid w:val="00CE62B7"/>
    <w:rsid w:val="00CE6DE2"/>
    <w:rsid w:val="00CE7CCC"/>
    <w:rsid w:val="00CF01C4"/>
    <w:rsid w:val="00CF0DF2"/>
    <w:rsid w:val="00CF3E48"/>
    <w:rsid w:val="00CF4F51"/>
    <w:rsid w:val="00CF513C"/>
    <w:rsid w:val="00CF5BA2"/>
    <w:rsid w:val="00CF611F"/>
    <w:rsid w:val="00CF6ADA"/>
    <w:rsid w:val="00CF74D6"/>
    <w:rsid w:val="00CF7CC3"/>
    <w:rsid w:val="00D01DFF"/>
    <w:rsid w:val="00D01EFE"/>
    <w:rsid w:val="00D029D0"/>
    <w:rsid w:val="00D03296"/>
    <w:rsid w:val="00D0376E"/>
    <w:rsid w:val="00D043DA"/>
    <w:rsid w:val="00D04ECF"/>
    <w:rsid w:val="00D056C5"/>
    <w:rsid w:val="00D061A1"/>
    <w:rsid w:val="00D06310"/>
    <w:rsid w:val="00D06686"/>
    <w:rsid w:val="00D07484"/>
    <w:rsid w:val="00D10DCF"/>
    <w:rsid w:val="00D124E2"/>
    <w:rsid w:val="00D12769"/>
    <w:rsid w:val="00D13230"/>
    <w:rsid w:val="00D13492"/>
    <w:rsid w:val="00D134BA"/>
    <w:rsid w:val="00D145B2"/>
    <w:rsid w:val="00D14E3F"/>
    <w:rsid w:val="00D15766"/>
    <w:rsid w:val="00D159C1"/>
    <w:rsid w:val="00D17AD8"/>
    <w:rsid w:val="00D20108"/>
    <w:rsid w:val="00D21059"/>
    <w:rsid w:val="00D216AF"/>
    <w:rsid w:val="00D21F3E"/>
    <w:rsid w:val="00D22A4D"/>
    <w:rsid w:val="00D22D4C"/>
    <w:rsid w:val="00D232FA"/>
    <w:rsid w:val="00D23771"/>
    <w:rsid w:val="00D23EAA"/>
    <w:rsid w:val="00D2444E"/>
    <w:rsid w:val="00D25A07"/>
    <w:rsid w:val="00D25AE4"/>
    <w:rsid w:val="00D26A54"/>
    <w:rsid w:val="00D2730A"/>
    <w:rsid w:val="00D27C67"/>
    <w:rsid w:val="00D30063"/>
    <w:rsid w:val="00D3076E"/>
    <w:rsid w:val="00D30918"/>
    <w:rsid w:val="00D3101F"/>
    <w:rsid w:val="00D31F1A"/>
    <w:rsid w:val="00D323A1"/>
    <w:rsid w:val="00D327A4"/>
    <w:rsid w:val="00D32ECF"/>
    <w:rsid w:val="00D332EB"/>
    <w:rsid w:val="00D34433"/>
    <w:rsid w:val="00D34834"/>
    <w:rsid w:val="00D354BD"/>
    <w:rsid w:val="00D35D98"/>
    <w:rsid w:val="00D36057"/>
    <w:rsid w:val="00D36876"/>
    <w:rsid w:val="00D37447"/>
    <w:rsid w:val="00D408AF"/>
    <w:rsid w:val="00D41F25"/>
    <w:rsid w:val="00D42224"/>
    <w:rsid w:val="00D43A3A"/>
    <w:rsid w:val="00D44566"/>
    <w:rsid w:val="00D446EB"/>
    <w:rsid w:val="00D44D86"/>
    <w:rsid w:val="00D45294"/>
    <w:rsid w:val="00D458F2"/>
    <w:rsid w:val="00D47984"/>
    <w:rsid w:val="00D47FB4"/>
    <w:rsid w:val="00D509DE"/>
    <w:rsid w:val="00D50E0C"/>
    <w:rsid w:val="00D5138A"/>
    <w:rsid w:val="00D51FF7"/>
    <w:rsid w:val="00D5208F"/>
    <w:rsid w:val="00D53443"/>
    <w:rsid w:val="00D539DC"/>
    <w:rsid w:val="00D53E77"/>
    <w:rsid w:val="00D53FAD"/>
    <w:rsid w:val="00D5449F"/>
    <w:rsid w:val="00D548EB"/>
    <w:rsid w:val="00D55852"/>
    <w:rsid w:val="00D55C26"/>
    <w:rsid w:val="00D55DDB"/>
    <w:rsid w:val="00D56D19"/>
    <w:rsid w:val="00D57487"/>
    <w:rsid w:val="00D576D8"/>
    <w:rsid w:val="00D57712"/>
    <w:rsid w:val="00D57BC0"/>
    <w:rsid w:val="00D60B89"/>
    <w:rsid w:val="00D60BCA"/>
    <w:rsid w:val="00D60EFA"/>
    <w:rsid w:val="00D61402"/>
    <w:rsid w:val="00D61B9E"/>
    <w:rsid w:val="00D62682"/>
    <w:rsid w:val="00D62AC7"/>
    <w:rsid w:val="00D63588"/>
    <w:rsid w:val="00D63A6E"/>
    <w:rsid w:val="00D640F4"/>
    <w:rsid w:val="00D64314"/>
    <w:rsid w:val="00D6458F"/>
    <w:rsid w:val="00D647F8"/>
    <w:rsid w:val="00D65253"/>
    <w:rsid w:val="00D65BFA"/>
    <w:rsid w:val="00D6672C"/>
    <w:rsid w:val="00D66AF8"/>
    <w:rsid w:val="00D676E4"/>
    <w:rsid w:val="00D67F10"/>
    <w:rsid w:val="00D70257"/>
    <w:rsid w:val="00D7030C"/>
    <w:rsid w:val="00D70F24"/>
    <w:rsid w:val="00D712F3"/>
    <w:rsid w:val="00D71CB9"/>
    <w:rsid w:val="00D72147"/>
    <w:rsid w:val="00D72701"/>
    <w:rsid w:val="00D72D6A"/>
    <w:rsid w:val="00D7341B"/>
    <w:rsid w:val="00D767C5"/>
    <w:rsid w:val="00D777EE"/>
    <w:rsid w:val="00D77B44"/>
    <w:rsid w:val="00D77EA1"/>
    <w:rsid w:val="00D80359"/>
    <w:rsid w:val="00D808C2"/>
    <w:rsid w:val="00D80D32"/>
    <w:rsid w:val="00D81024"/>
    <w:rsid w:val="00D81D82"/>
    <w:rsid w:val="00D81D8D"/>
    <w:rsid w:val="00D8227C"/>
    <w:rsid w:val="00D8313D"/>
    <w:rsid w:val="00D83465"/>
    <w:rsid w:val="00D83921"/>
    <w:rsid w:val="00D848D2"/>
    <w:rsid w:val="00D84A41"/>
    <w:rsid w:val="00D84A6A"/>
    <w:rsid w:val="00D84DB6"/>
    <w:rsid w:val="00D85416"/>
    <w:rsid w:val="00D855FE"/>
    <w:rsid w:val="00D8568F"/>
    <w:rsid w:val="00D85C9F"/>
    <w:rsid w:val="00D85DED"/>
    <w:rsid w:val="00D85EB1"/>
    <w:rsid w:val="00D85EC4"/>
    <w:rsid w:val="00D87683"/>
    <w:rsid w:val="00D87D15"/>
    <w:rsid w:val="00D90280"/>
    <w:rsid w:val="00D90766"/>
    <w:rsid w:val="00D907D7"/>
    <w:rsid w:val="00D90C6D"/>
    <w:rsid w:val="00D90FEB"/>
    <w:rsid w:val="00D915D8"/>
    <w:rsid w:val="00D91695"/>
    <w:rsid w:val="00D91FA1"/>
    <w:rsid w:val="00D920A6"/>
    <w:rsid w:val="00D9331E"/>
    <w:rsid w:val="00D93BAD"/>
    <w:rsid w:val="00D941AB"/>
    <w:rsid w:val="00D94A40"/>
    <w:rsid w:val="00D954F5"/>
    <w:rsid w:val="00D9581D"/>
    <w:rsid w:val="00D96577"/>
    <w:rsid w:val="00D96C9A"/>
    <w:rsid w:val="00D97E0F"/>
    <w:rsid w:val="00DA072B"/>
    <w:rsid w:val="00DA0795"/>
    <w:rsid w:val="00DA0F58"/>
    <w:rsid w:val="00DA1B03"/>
    <w:rsid w:val="00DA1BA6"/>
    <w:rsid w:val="00DA31FD"/>
    <w:rsid w:val="00DA36FB"/>
    <w:rsid w:val="00DA39B7"/>
    <w:rsid w:val="00DA423F"/>
    <w:rsid w:val="00DA46D8"/>
    <w:rsid w:val="00DA494E"/>
    <w:rsid w:val="00DA4C15"/>
    <w:rsid w:val="00DA5966"/>
    <w:rsid w:val="00DA5CD4"/>
    <w:rsid w:val="00DA5E38"/>
    <w:rsid w:val="00DA6EA2"/>
    <w:rsid w:val="00DA7476"/>
    <w:rsid w:val="00DB0719"/>
    <w:rsid w:val="00DB0AE3"/>
    <w:rsid w:val="00DB0C15"/>
    <w:rsid w:val="00DB118B"/>
    <w:rsid w:val="00DB25D1"/>
    <w:rsid w:val="00DB27B9"/>
    <w:rsid w:val="00DB2952"/>
    <w:rsid w:val="00DB3133"/>
    <w:rsid w:val="00DB336B"/>
    <w:rsid w:val="00DB37B1"/>
    <w:rsid w:val="00DB43A5"/>
    <w:rsid w:val="00DB4445"/>
    <w:rsid w:val="00DB5D6B"/>
    <w:rsid w:val="00DB5EB1"/>
    <w:rsid w:val="00DB6581"/>
    <w:rsid w:val="00DB7866"/>
    <w:rsid w:val="00DC0966"/>
    <w:rsid w:val="00DC0A82"/>
    <w:rsid w:val="00DC0D5C"/>
    <w:rsid w:val="00DC11C3"/>
    <w:rsid w:val="00DC2243"/>
    <w:rsid w:val="00DC25A8"/>
    <w:rsid w:val="00DC2BAF"/>
    <w:rsid w:val="00DC348B"/>
    <w:rsid w:val="00DC34F5"/>
    <w:rsid w:val="00DC5472"/>
    <w:rsid w:val="00DC5AD6"/>
    <w:rsid w:val="00DC5B84"/>
    <w:rsid w:val="00DC6250"/>
    <w:rsid w:val="00DC6327"/>
    <w:rsid w:val="00DD031C"/>
    <w:rsid w:val="00DD0563"/>
    <w:rsid w:val="00DD08D5"/>
    <w:rsid w:val="00DD097F"/>
    <w:rsid w:val="00DD0A6B"/>
    <w:rsid w:val="00DD13F1"/>
    <w:rsid w:val="00DD1ACB"/>
    <w:rsid w:val="00DD2435"/>
    <w:rsid w:val="00DD3CBA"/>
    <w:rsid w:val="00DD46B4"/>
    <w:rsid w:val="00DD4EB9"/>
    <w:rsid w:val="00DD70C8"/>
    <w:rsid w:val="00DD76CF"/>
    <w:rsid w:val="00DD7BB7"/>
    <w:rsid w:val="00DD7DE1"/>
    <w:rsid w:val="00DE07BB"/>
    <w:rsid w:val="00DE0AEB"/>
    <w:rsid w:val="00DE0B52"/>
    <w:rsid w:val="00DE0B7D"/>
    <w:rsid w:val="00DE1306"/>
    <w:rsid w:val="00DE1DB7"/>
    <w:rsid w:val="00DE1DF1"/>
    <w:rsid w:val="00DE32B1"/>
    <w:rsid w:val="00DE3354"/>
    <w:rsid w:val="00DE3662"/>
    <w:rsid w:val="00DE3C53"/>
    <w:rsid w:val="00DE4833"/>
    <w:rsid w:val="00DE4A4F"/>
    <w:rsid w:val="00DE4EB8"/>
    <w:rsid w:val="00DE5590"/>
    <w:rsid w:val="00DE57C7"/>
    <w:rsid w:val="00DE5A80"/>
    <w:rsid w:val="00DE5DFB"/>
    <w:rsid w:val="00DE5E2C"/>
    <w:rsid w:val="00DE669A"/>
    <w:rsid w:val="00DE7141"/>
    <w:rsid w:val="00DE73E0"/>
    <w:rsid w:val="00DE75A5"/>
    <w:rsid w:val="00DE7978"/>
    <w:rsid w:val="00DF0CE3"/>
    <w:rsid w:val="00DF1A94"/>
    <w:rsid w:val="00DF1CD5"/>
    <w:rsid w:val="00DF1E76"/>
    <w:rsid w:val="00DF23D7"/>
    <w:rsid w:val="00DF268E"/>
    <w:rsid w:val="00DF27F4"/>
    <w:rsid w:val="00DF2867"/>
    <w:rsid w:val="00DF2C5E"/>
    <w:rsid w:val="00DF3074"/>
    <w:rsid w:val="00DF4C4B"/>
    <w:rsid w:val="00DF4E6C"/>
    <w:rsid w:val="00DF5EA7"/>
    <w:rsid w:val="00DF68FE"/>
    <w:rsid w:val="00DF690E"/>
    <w:rsid w:val="00DF772C"/>
    <w:rsid w:val="00DF77EB"/>
    <w:rsid w:val="00DF7B53"/>
    <w:rsid w:val="00DF7BAE"/>
    <w:rsid w:val="00DF7D9A"/>
    <w:rsid w:val="00E00299"/>
    <w:rsid w:val="00E025D9"/>
    <w:rsid w:val="00E03120"/>
    <w:rsid w:val="00E033BC"/>
    <w:rsid w:val="00E04313"/>
    <w:rsid w:val="00E047F8"/>
    <w:rsid w:val="00E0497A"/>
    <w:rsid w:val="00E04FE4"/>
    <w:rsid w:val="00E051E0"/>
    <w:rsid w:val="00E0563F"/>
    <w:rsid w:val="00E05716"/>
    <w:rsid w:val="00E06067"/>
    <w:rsid w:val="00E06597"/>
    <w:rsid w:val="00E06A43"/>
    <w:rsid w:val="00E06D8F"/>
    <w:rsid w:val="00E07665"/>
    <w:rsid w:val="00E07B47"/>
    <w:rsid w:val="00E103D0"/>
    <w:rsid w:val="00E105A6"/>
    <w:rsid w:val="00E1068E"/>
    <w:rsid w:val="00E10838"/>
    <w:rsid w:val="00E10A59"/>
    <w:rsid w:val="00E113A7"/>
    <w:rsid w:val="00E1155A"/>
    <w:rsid w:val="00E11ADF"/>
    <w:rsid w:val="00E12187"/>
    <w:rsid w:val="00E123AB"/>
    <w:rsid w:val="00E12463"/>
    <w:rsid w:val="00E1258C"/>
    <w:rsid w:val="00E127DC"/>
    <w:rsid w:val="00E12CD5"/>
    <w:rsid w:val="00E1383A"/>
    <w:rsid w:val="00E13A2F"/>
    <w:rsid w:val="00E14302"/>
    <w:rsid w:val="00E14B81"/>
    <w:rsid w:val="00E15C82"/>
    <w:rsid w:val="00E15CED"/>
    <w:rsid w:val="00E15DC9"/>
    <w:rsid w:val="00E15E78"/>
    <w:rsid w:val="00E15EB5"/>
    <w:rsid w:val="00E167C8"/>
    <w:rsid w:val="00E16923"/>
    <w:rsid w:val="00E16C29"/>
    <w:rsid w:val="00E16C87"/>
    <w:rsid w:val="00E16FE0"/>
    <w:rsid w:val="00E17675"/>
    <w:rsid w:val="00E17960"/>
    <w:rsid w:val="00E17F83"/>
    <w:rsid w:val="00E20271"/>
    <w:rsid w:val="00E20AB6"/>
    <w:rsid w:val="00E20E30"/>
    <w:rsid w:val="00E212B3"/>
    <w:rsid w:val="00E214D4"/>
    <w:rsid w:val="00E2297E"/>
    <w:rsid w:val="00E231AF"/>
    <w:rsid w:val="00E2351D"/>
    <w:rsid w:val="00E23D55"/>
    <w:rsid w:val="00E23EEB"/>
    <w:rsid w:val="00E24740"/>
    <w:rsid w:val="00E24CD9"/>
    <w:rsid w:val="00E25296"/>
    <w:rsid w:val="00E253FB"/>
    <w:rsid w:val="00E2570A"/>
    <w:rsid w:val="00E2638A"/>
    <w:rsid w:val="00E26C7B"/>
    <w:rsid w:val="00E27D60"/>
    <w:rsid w:val="00E30385"/>
    <w:rsid w:val="00E3046F"/>
    <w:rsid w:val="00E31D1A"/>
    <w:rsid w:val="00E31ECF"/>
    <w:rsid w:val="00E32025"/>
    <w:rsid w:val="00E32CEF"/>
    <w:rsid w:val="00E33404"/>
    <w:rsid w:val="00E341E6"/>
    <w:rsid w:val="00E34420"/>
    <w:rsid w:val="00E34EDF"/>
    <w:rsid w:val="00E3538B"/>
    <w:rsid w:val="00E35FDD"/>
    <w:rsid w:val="00E37021"/>
    <w:rsid w:val="00E3789A"/>
    <w:rsid w:val="00E40A75"/>
    <w:rsid w:val="00E40B89"/>
    <w:rsid w:val="00E410D7"/>
    <w:rsid w:val="00E410EA"/>
    <w:rsid w:val="00E414D1"/>
    <w:rsid w:val="00E416FF"/>
    <w:rsid w:val="00E4268B"/>
    <w:rsid w:val="00E427A6"/>
    <w:rsid w:val="00E42A3D"/>
    <w:rsid w:val="00E42DA6"/>
    <w:rsid w:val="00E4320A"/>
    <w:rsid w:val="00E43332"/>
    <w:rsid w:val="00E43C7E"/>
    <w:rsid w:val="00E444A2"/>
    <w:rsid w:val="00E462A6"/>
    <w:rsid w:val="00E4636F"/>
    <w:rsid w:val="00E4753B"/>
    <w:rsid w:val="00E4785E"/>
    <w:rsid w:val="00E478CB"/>
    <w:rsid w:val="00E47C85"/>
    <w:rsid w:val="00E47E9F"/>
    <w:rsid w:val="00E5000A"/>
    <w:rsid w:val="00E51276"/>
    <w:rsid w:val="00E518CD"/>
    <w:rsid w:val="00E51948"/>
    <w:rsid w:val="00E52126"/>
    <w:rsid w:val="00E52869"/>
    <w:rsid w:val="00E52A21"/>
    <w:rsid w:val="00E53356"/>
    <w:rsid w:val="00E53BC5"/>
    <w:rsid w:val="00E53DCF"/>
    <w:rsid w:val="00E543B5"/>
    <w:rsid w:val="00E54B6C"/>
    <w:rsid w:val="00E55B79"/>
    <w:rsid w:val="00E55DF2"/>
    <w:rsid w:val="00E55F36"/>
    <w:rsid w:val="00E56022"/>
    <w:rsid w:val="00E56FA8"/>
    <w:rsid w:val="00E57600"/>
    <w:rsid w:val="00E57A90"/>
    <w:rsid w:val="00E60044"/>
    <w:rsid w:val="00E60516"/>
    <w:rsid w:val="00E6064F"/>
    <w:rsid w:val="00E61027"/>
    <w:rsid w:val="00E611A6"/>
    <w:rsid w:val="00E616E0"/>
    <w:rsid w:val="00E61AB2"/>
    <w:rsid w:val="00E6202C"/>
    <w:rsid w:val="00E62642"/>
    <w:rsid w:val="00E63567"/>
    <w:rsid w:val="00E641CC"/>
    <w:rsid w:val="00E64A90"/>
    <w:rsid w:val="00E64CBD"/>
    <w:rsid w:val="00E64EE4"/>
    <w:rsid w:val="00E65ED2"/>
    <w:rsid w:val="00E65F66"/>
    <w:rsid w:val="00E66228"/>
    <w:rsid w:val="00E66C70"/>
    <w:rsid w:val="00E673EC"/>
    <w:rsid w:val="00E67A1B"/>
    <w:rsid w:val="00E67D31"/>
    <w:rsid w:val="00E67F24"/>
    <w:rsid w:val="00E70935"/>
    <w:rsid w:val="00E70F9C"/>
    <w:rsid w:val="00E71F32"/>
    <w:rsid w:val="00E73867"/>
    <w:rsid w:val="00E73A34"/>
    <w:rsid w:val="00E73B7D"/>
    <w:rsid w:val="00E73E3A"/>
    <w:rsid w:val="00E73F44"/>
    <w:rsid w:val="00E742B8"/>
    <w:rsid w:val="00E74CCC"/>
    <w:rsid w:val="00E74E9B"/>
    <w:rsid w:val="00E75697"/>
    <w:rsid w:val="00E75F21"/>
    <w:rsid w:val="00E768DB"/>
    <w:rsid w:val="00E769AC"/>
    <w:rsid w:val="00E76C4A"/>
    <w:rsid w:val="00E770E6"/>
    <w:rsid w:val="00E771E1"/>
    <w:rsid w:val="00E7795C"/>
    <w:rsid w:val="00E8003B"/>
    <w:rsid w:val="00E806F3"/>
    <w:rsid w:val="00E80E6F"/>
    <w:rsid w:val="00E810AB"/>
    <w:rsid w:val="00E81253"/>
    <w:rsid w:val="00E813AB"/>
    <w:rsid w:val="00E81439"/>
    <w:rsid w:val="00E817B9"/>
    <w:rsid w:val="00E81D04"/>
    <w:rsid w:val="00E82462"/>
    <w:rsid w:val="00E825C1"/>
    <w:rsid w:val="00E83006"/>
    <w:rsid w:val="00E8303D"/>
    <w:rsid w:val="00E8479B"/>
    <w:rsid w:val="00E8495A"/>
    <w:rsid w:val="00E852E9"/>
    <w:rsid w:val="00E8532B"/>
    <w:rsid w:val="00E854F9"/>
    <w:rsid w:val="00E85647"/>
    <w:rsid w:val="00E85EDC"/>
    <w:rsid w:val="00E867CE"/>
    <w:rsid w:val="00E86CBA"/>
    <w:rsid w:val="00E9030C"/>
    <w:rsid w:val="00E91C6C"/>
    <w:rsid w:val="00E927CE"/>
    <w:rsid w:val="00E92D0E"/>
    <w:rsid w:val="00E931B7"/>
    <w:rsid w:val="00E93DBD"/>
    <w:rsid w:val="00E94012"/>
    <w:rsid w:val="00E94865"/>
    <w:rsid w:val="00E949B5"/>
    <w:rsid w:val="00E949E2"/>
    <w:rsid w:val="00E9583F"/>
    <w:rsid w:val="00E95B86"/>
    <w:rsid w:val="00E95D5A"/>
    <w:rsid w:val="00E95E1F"/>
    <w:rsid w:val="00E963E2"/>
    <w:rsid w:val="00E96584"/>
    <w:rsid w:val="00E96AEB"/>
    <w:rsid w:val="00E96C9B"/>
    <w:rsid w:val="00E96E06"/>
    <w:rsid w:val="00E96F98"/>
    <w:rsid w:val="00E97AF1"/>
    <w:rsid w:val="00EA0217"/>
    <w:rsid w:val="00EA0489"/>
    <w:rsid w:val="00EA0FC0"/>
    <w:rsid w:val="00EA102A"/>
    <w:rsid w:val="00EA2D99"/>
    <w:rsid w:val="00EA3588"/>
    <w:rsid w:val="00EA3B03"/>
    <w:rsid w:val="00EA431F"/>
    <w:rsid w:val="00EA4538"/>
    <w:rsid w:val="00EA4556"/>
    <w:rsid w:val="00EA4B57"/>
    <w:rsid w:val="00EA51C6"/>
    <w:rsid w:val="00EA522B"/>
    <w:rsid w:val="00EA54D7"/>
    <w:rsid w:val="00EA5D0A"/>
    <w:rsid w:val="00EA5FAA"/>
    <w:rsid w:val="00EA65A1"/>
    <w:rsid w:val="00EB013F"/>
    <w:rsid w:val="00EB05DE"/>
    <w:rsid w:val="00EB1325"/>
    <w:rsid w:val="00EB213E"/>
    <w:rsid w:val="00EB218A"/>
    <w:rsid w:val="00EB2216"/>
    <w:rsid w:val="00EB2FF1"/>
    <w:rsid w:val="00EB36A6"/>
    <w:rsid w:val="00EB402B"/>
    <w:rsid w:val="00EB485A"/>
    <w:rsid w:val="00EB4E49"/>
    <w:rsid w:val="00EB5C5B"/>
    <w:rsid w:val="00EB6767"/>
    <w:rsid w:val="00EB6F4B"/>
    <w:rsid w:val="00EB70B2"/>
    <w:rsid w:val="00EB79BA"/>
    <w:rsid w:val="00EB7A17"/>
    <w:rsid w:val="00EB7EC3"/>
    <w:rsid w:val="00EC05BF"/>
    <w:rsid w:val="00EC094A"/>
    <w:rsid w:val="00EC0B28"/>
    <w:rsid w:val="00EC0C88"/>
    <w:rsid w:val="00EC1B01"/>
    <w:rsid w:val="00EC2133"/>
    <w:rsid w:val="00EC34EB"/>
    <w:rsid w:val="00EC3812"/>
    <w:rsid w:val="00EC3E67"/>
    <w:rsid w:val="00EC49C6"/>
    <w:rsid w:val="00EC4D41"/>
    <w:rsid w:val="00EC5BC9"/>
    <w:rsid w:val="00EC77D5"/>
    <w:rsid w:val="00ED21C8"/>
    <w:rsid w:val="00ED2B48"/>
    <w:rsid w:val="00ED422F"/>
    <w:rsid w:val="00ED5E90"/>
    <w:rsid w:val="00ED68AB"/>
    <w:rsid w:val="00ED6CF3"/>
    <w:rsid w:val="00ED6F88"/>
    <w:rsid w:val="00ED75B1"/>
    <w:rsid w:val="00ED7726"/>
    <w:rsid w:val="00ED7BC5"/>
    <w:rsid w:val="00EE04EA"/>
    <w:rsid w:val="00EE1888"/>
    <w:rsid w:val="00EE23C4"/>
    <w:rsid w:val="00EE3310"/>
    <w:rsid w:val="00EE3610"/>
    <w:rsid w:val="00EE3648"/>
    <w:rsid w:val="00EE40E6"/>
    <w:rsid w:val="00EE4236"/>
    <w:rsid w:val="00EE42EF"/>
    <w:rsid w:val="00EE48F0"/>
    <w:rsid w:val="00EE4D55"/>
    <w:rsid w:val="00EE5BF0"/>
    <w:rsid w:val="00EE610E"/>
    <w:rsid w:val="00EE62B0"/>
    <w:rsid w:val="00EE6AE5"/>
    <w:rsid w:val="00EE6D0E"/>
    <w:rsid w:val="00EE7C47"/>
    <w:rsid w:val="00EF0CFF"/>
    <w:rsid w:val="00EF1052"/>
    <w:rsid w:val="00EF1143"/>
    <w:rsid w:val="00EF1A3B"/>
    <w:rsid w:val="00EF268C"/>
    <w:rsid w:val="00EF2CCD"/>
    <w:rsid w:val="00EF3354"/>
    <w:rsid w:val="00EF34F4"/>
    <w:rsid w:val="00EF362B"/>
    <w:rsid w:val="00EF3B7C"/>
    <w:rsid w:val="00EF56EC"/>
    <w:rsid w:val="00EF5793"/>
    <w:rsid w:val="00EF5F77"/>
    <w:rsid w:val="00EF641E"/>
    <w:rsid w:val="00EF6424"/>
    <w:rsid w:val="00EF6C09"/>
    <w:rsid w:val="00EF764E"/>
    <w:rsid w:val="00EF7A52"/>
    <w:rsid w:val="00F01780"/>
    <w:rsid w:val="00F01B4F"/>
    <w:rsid w:val="00F02013"/>
    <w:rsid w:val="00F02152"/>
    <w:rsid w:val="00F023D1"/>
    <w:rsid w:val="00F0343B"/>
    <w:rsid w:val="00F037A6"/>
    <w:rsid w:val="00F04145"/>
    <w:rsid w:val="00F04912"/>
    <w:rsid w:val="00F04E58"/>
    <w:rsid w:val="00F04FE6"/>
    <w:rsid w:val="00F05303"/>
    <w:rsid w:val="00F05338"/>
    <w:rsid w:val="00F05DDA"/>
    <w:rsid w:val="00F068F4"/>
    <w:rsid w:val="00F06AB2"/>
    <w:rsid w:val="00F06B2D"/>
    <w:rsid w:val="00F06FF4"/>
    <w:rsid w:val="00F1065F"/>
    <w:rsid w:val="00F10E04"/>
    <w:rsid w:val="00F126A2"/>
    <w:rsid w:val="00F13166"/>
    <w:rsid w:val="00F13C4F"/>
    <w:rsid w:val="00F13F07"/>
    <w:rsid w:val="00F1405E"/>
    <w:rsid w:val="00F14647"/>
    <w:rsid w:val="00F14BBF"/>
    <w:rsid w:val="00F14D00"/>
    <w:rsid w:val="00F1508D"/>
    <w:rsid w:val="00F15645"/>
    <w:rsid w:val="00F16CC3"/>
    <w:rsid w:val="00F173CB"/>
    <w:rsid w:val="00F17873"/>
    <w:rsid w:val="00F17D55"/>
    <w:rsid w:val="00F2007D"/>
    <w:rsid w:val="00F20E34"/>
    <w:rsid w:val="00F21EAD"/>
    <w:rsid w:val="00F21F02"/>
    <w:rsid w:val="00F2346B"/>
    <w:rsid w:val="00F23F8D"/>
    <w:rsid w:val="00F241A5"/>
    <w:rsid w:val="00F24F51"/>
    <w:rsid w:val="00F25859"/>
    <w:rsid w:val="00F259E3"/>
    <w:rsid w:val="00F25D39"/>
    <w:rsid w:val="00F2680C"/>
    <w:rsid w:val="00F26C60"/>
    <w:rsid w:val="00F26CE2"/>
    <w:rsid w:val="00F2721A"/>
    <w:rsid w:val="00F272F9"/>
    <w:rsid w:val="00F31606"/>
    <w:rsid w:val="00F31695"/>
    <w:rsid w:val="00F32013"/>
    <w:rsid w:val="00F32EA3"/>
    <w:rsid w:val="00F33052"/>
    <w:rsid w:val="00F339B0"/>
    <w:rsid w:val="00F33C62"/>
    <w:rsid w:val="00F34115"/>
    <w:rsid w:val="00F341F3"/>
    <w:rsid w:val="00F34845"/>
    <w:rsid w:val="00F34972"/>
    <w:rsid w:val="00F34B87"/>
    <w:rsid w:val="00F34BCE"/>
    <w:rsid w:val="00F3556E"/>
    <w:rsid w:val="00F35B59"/>
    <w:rsid w:val="00F35DDC"/>
    <w:rsid w:val="00F35F93"/>
    <w:rsid w:val="00F3605B"/>
    <w:rsid w:val="00F365A7"/>
    <w:rsid w:val="00F375C9"/>
    <w:rsid w:val="00F40964"/>
    <w:rsid w:val="00F4117C"/>
    <w:rsid w:val="00F41188"/>
    <w:rsid w:val="00F4128F"/>
    <w:rsid w:val="00F41392"/>
    <w:rsid w:val="00F42292"/>
    <w:rsid w:val="00F42438"/>
    <w:rsid w:val="00F42CEB"/>
    <w:rsid w:val="00F42F0C"/>
    <w:rsid w:val="00F43444"/>
    <w:rsid w:val="00F434B4"/>
    <w:rsid w:val="00F44297"/>
    <w:rsid w:val="00F45309"/>
    <w:rsid w:val="00F46423"/>
    <w:rsid w:val="00F46769"/>
    <w:rsid w:val="00F46B26"/>
    <w:rsid w:val="00F46D21"/>
    <w:rsid w:val="00F46DB5"/>
    <w:rsid w:val="00F473FF"/>
    <w:rsid w:val="00F47E6A"/>
    <w:rsid w:val="00F507CE"/>
    <w:rsid w:val="00F507E2"/>
    <w:rsid w:val="00F509A3"/>
    <w:rsid w:val="00F51109"/>
    <w:rsid w:val="00F51E45"/>
    <w:rsid w:val="00F51FA3"/>
    <w:rsid w:val="00F521B6"/>
    <w:rsid w:val="00F5220A"/>
    <w:rsid w:val="00F5221E"/>
    <w:rsid w:val="00F524C4"/>
    <w:rsid w:val="00F53D06"/>
    <w:rsid w:val="00F54496"/>
    <w:rsid w:val="00F55451"/>
    <w:rsid w:val="00F557B0"/>
    <w:rsid w:val="00F557C0"/>
    <w:rsid w:val="00F563B4"/>
    <w:rsid w:val="00F564F9"/>
    <w:rsid w:val="00F5686B"/>
    <w:rsid w:val="00F56E6D"/>
    <w:rsid w:val="00F5785B"/>
    <w:rsid w:val="00F57AB8"/>
    <w:rsid w:val="00F60065"/>
    <w:rsid w:val="00F61F65"/>
    <w:rsid w:val="00F62428"/>
    <w:rsid w:val="00F6281A"/>
    <w:rsid w:val="00F6326F"/>
    <w:rsid w:val="00F63862"/>
    <w:rsid w:val="00F63CCD"/>
    <w:rsid w:val="00F646DB"/>
    <w:rsid w:val="00F64917"/>
    <w:rsid w:val="00F6504E"/>
    <w:rsid w:val="00F6580A"/>
    <w:rsid w:val="00F65BFC"/>
    <w:rsid w:val="00F65C20"/>
    <w:rsid w:val="00F65DBA"/>
    <w:rsid w:val="00F66793"/>
    <w:rsid w:val="00F67017"/>
    <w:rsid w:val="00F670F3"/>
    <w:rsid w:val="00F672A7"/>
    <w:rsid w:val="00F6731E"/>
    <w:rsid w:val="00F7008D"/>
    <w:rsid w:val="00F70093"/>
    <w:rsid w:val="00F70144"/>
    <w:rsid w:val="00F70B7D"/>
    <w:rsid w:val="00F7146C"/>
    <w:rsid w:val="00F729E4"/>
    <w:rsid w:val="00F72A4F"/>
    <w:rsid w:val="00F72D85"/>
    <w:rsid w:val="00F731B9"/>
    <w:rsid w:val="00F73A5A"/>
    <w:rsid w:val="00F73FFE"/>
    <w:rsid w:val="00F74055"/>
    <w:rsid w:val="00F74892"/>
    <w:rsid w:val="00F74FA8"/>
    <w:rsid w:val="00F752D0"/>
    <w:rsid w:val="00F7553E"/>
    <w:rsid w:val="00F75678"/>
    <w:rsid w:val="00F75860"/>
    <w:rsid w:val="00F7648D"/>
    <w:rsid w:val="00F803F6"/>
    <w:rsid w:val="00F815D4"/>
    <w:rsid w:val="00F819C1"/>
    <w:rsid w:val="00F82424"/>
    <w:rsid w:val="00F825B6"/>
    <w:rsid w:val="00F82819"/>
    <w:rsid w:val="00F82F9A"/>
    <w:rsid w:val="00F82FA1"/>
    <w:rsid w:val="00F84480"/>
    <w:rsid w:val="00F84CEC"/>
    <w:rsid w:val="00F8512E"/>
    <w:rsid w:val="00F85599"/>
    <w:rsid w:val="00F855E9"/>
    <w:rsid w:val="00F85C1E"/>
    <w:rsid w:val="00F85C8B"/>
    <w:rsid w:val="00F85D02"/>
    <w:rsid w:val="00F865FC"/>
    <w:rsid w:val="00F86604"/>
    <w:rsid w:val="00F86ED0"/>
    <w:rsid w:val="00F86F89"/>
    <w:rsid w:val="00F8720A"/>
    <w:rsid w:val="00F87558"/>
    <w:rsid w:val="00F87840"/>
    <w:rsid w:val="00F90726"/>
    <w:rsid w:val="00F90D8E"/>
    <w:rsid w:val="00F90E29"/>
    <w:rsid w:val="00F90F64"/>
    <w:rsid w:val="00F90F7D"/>
    <w:rsid w:val="00F91F62"/>
    <w:rsid w:val="00F926D8"/>
    <w:rsid w:val="00F928AF"/>
    <w:rsid w:val="00F92C13"/>
    <w:rsid w:val="00F92C62"/>
    <w:rsid w:val="00F92D2E"/>
    <w:rsid w:val="00F93F81"/>
    <w:rsid w:val="00F944FC"/>
    <w:rsid w:val="00F948D5"/>
    <w:rsid w:val="00F955FA"/>
    <w:rsid w:val="00F963CA"/>
    <w:rsid w:val="00F9689E"/>
    <w:rsid w:val="00F97452"/>
    <w:rsid w:val="00F97715"/>
    <w:rsid w:val="00F97894"/>
    <w:rsid w:val="00FA05CF"/>
    <w:rsid w:val="00FA0723"/>
    <w:rsid w:val="00FA0764"/>
    <w:rsid w:val="00FA1695"/>
    <w:rsid w:val="00FA1857"/>
    <w:rsid w:val="00FA1C4D"/>
    <w:rsid w:val="00FA22C4"/>
    <w:rsid w:val="00FA2739"/>
    <w:rsid w:val="00FA284F"/>
    <w:rsid w:val="00FA2F9E"/>
    <w:rsid w:val="00FA393C"/>
    <w:rsid w:val="00FA454F"/>
    <w:rsid w:val="00FA518C"/>
    <w:rsid w:val="00FA5CD5"/>
    <w:rsid w:val="00FA5D0F"/>
    <w:rsid w:val="00FA68FF"/>
    <w:rsid w:val="00FA6B94"/>
    <w:rsid w:val="00FA78CF"/>
    <w:rsid w:val="00FB006A"/>
    <w:rsid w:val="00FB0623"/>
    <w:rsid w:val="00FB0B0A"/>
    <w:rsid w:val="00FB1944"/>
    <w:rsid w:val="00FB1F4D"/>
    <w:rsid w:val="00FB2035"/>
    <w:rsid w:val="00FB217C"/>
    <w:rsid w:val="00FB2837"/>
    <w:rsid w:val="00FB2EF2"/>
    <w:rsid w:val="00FB3B43"/>
    <w:rsid w:val="00FB430F"/>
    <w:rsid w:val="00FB5134"/>
    <w:rsid w:val="00FB5423"/>
    <w:rsid w:val="00FB56B4"/>
    <w:rsid w:val="00FB5A76"/>
    <w:rsid w:val="00FB6045"/>
    <w:rsid w:val="00FB6260"/>
    <w:rsid w:val="00FB6368"/>
    <w:rsid w:val="00FB716E"/>
    <w:rsid w:val="00FB7C82"/>
    <w:rsid w:val="00FC054E"/>
    <w:rsid w:val="00FC122B"/>
    <w:rsid w:val="00FC1D7F"/>
    <w:rsid w:val="00FC262F"/>
    <w:rsid w:val="00FC28A7"/>
    <w:rsid w:val="00FC2BEF"/>
    <w:rsid w:val="00FC30B5"/>
    <w:rsid w:val="00FC30FB"/>
    <w:rsid w:val="00FC39D5"/>
    <w:rsid w:val="00FC4D66"/>
    <w:rsid w:val="00FC4EAF"/>
    <w:rsid w:val="00FC5047"/>
    <w:rsid w:val="00FC5724"/>
    <w:rsid w:val="00FC58A8"/>
    <w:rsid w:val="00FC5B7C"/>
    <w:rsid w:val="00FC6C20"/>
    <w:rsid w:val="00FC71E3"/>
    <w:rsid w:val="00FC752D"/>
    <w:rsid w:val="00FC75BD"/>
    <w:rsid w:val="00FC77A8"/>
    <w:rsid w:val="00FD0355"/>
    <w:rsid w:val="00FD096B"/>
    <w:rsid w:val="00FD13FD"/>
    <w:rsid w:val="00FD1403"/>
    <w:rsid w:val="00FD208A"/>
    <w:rsid w:val="00FD259D"/>
    <w:rsid w:val="00FD296D"/>
    <w:rsid w:val="00FD2E28"/>
    <w:rsid w:val="00FD31A9"/>
    <w:rsid w:val="00FD329B"/>
    <w:rsid w:val="00FD445B"/>
    <w:rsid w:val="00FD4F47"/>
    <w:rsid w:val="00FD57AC"/>
    <w:rsid w:val="00FD5B90"/>
    <w:rsid w:val="00FD62DD"/>
    <w:rsid w:val="00FD64C3"/>
    <w:rsid w:val="00FD662A"/>
    <w:rsid w:val="00FD6ABE"/>
    <w:rsid w:val="00FD6B8B"/>
    <w:rsid w:val="00FD72CB"/>
    <w:rsid w:val="00FD75F9"/>
    <w:rsid w:val="00FE0857"/>
    <w:rsid w:val="00FE1298"/>
    <w:rsid w:val="00FE1829"/>
    <w:rsid w:val="00FE1D9B"/>
    <w:rsid w:val="00FE3440"/>
    <w:rsid w:val="00FE3BD6"/>
    <w:rsid w:val="00FE4503"/>
    <w:rsid w:val="00FE5B8C"/>
    <w:rsid w:val="00FE68FC"/>
    <w:rsid w:val="00FE69B6"/>
    <w:rsid w:val="00FE7772"/>
    <w:rsid w:val="00FE7DD5"/>
    <w:rsid w:val="00FE7E63"/>
    <w:rsid w:val="00FF0036"/>
    <w:rsid w:val="00FF0CCA"/>
    <w:rsid w:val="00FF0DA7"/>
    <w:rsid w:val="00FF2D2B"/>
    <w:rsid w:val="00FF2E29"/>
    <w:rsid w:val="00FF3341"/>
    <w:rsid w:val="00FF404A"/>
    <w:rsid w:val="00FF5005"/>
    <w:rsid w:val="00FF5B8A"/>
    <w:rsid w:val="00FF6EE4"/>
    <w:rsid w:val="032F3792"/>
    <w:rsid w:val="04295C42"/>
    <w:rsid w:val="06FC740B"/>
    <w:rsid w:val="070A575C"/>
    <w:rsid w:val="07792DCD"/>
    <w:rsid w:val="083F111A"/>
    <w:rsid w:val="09DD3685"/>
    <w:rsid w:val="0A393B80"/>
    <w:rsid w:val="0C5F135C"/>
    <w:rsid w:val="0F94465A"/>
    <w:rsid w:val="10F93FE9"/>
    <w:rsid w:val="10FE6AE2"/>
    <w:rsid w:val="11817206"/>
    <w:rsid w:val="12271FA3"/>
    <w:rsid w:val="13A811F9"/>
    <w:rsid w:val="13B86A3E"/>
    <w:rsid w:val="14E75240"/>
    <w:rsid w:val="163B7EEA"/>
    <w:rsid w:val="17670DB9"/>
    <w:rsid w:val="191F3236"/>
    <w:rsid w:val="1B1D6B9D"/>
    <w:rsid w:val="1E754739"/>
    <w:rsid w:val="1FA721F7"/>
    <w:rsid w:val="20AB70BB"/>
    <w:rsid w:val="210D6061"/>
    <w:rsid w:val="22BB00D6"/>
    <w:rsid w:val="22BC142E"/>
    <w:rsid w:val="24231158"/>
    <w:rsid w:val="261440AC"/>
    <w:rsid w:val="263C374B"/>
    <w:rsid w:val="273544AA"/>
    <w:rsid w:val="27997C75"/>
    <w:rsid w:val="2A01400F"/>
    <w:rsid w:val="2A315BAA"/>
    <w:rsid w:val="2C9A2DA6"/>
    <w:rsid w:val="2E942E5B"/>
    <w:rsid w:val="2F557A33"/>
    <w:rsid w:val="2F773163"/>
    <w:rsid w:val="305E640B"/>
    <w:rsid w:val="3371510F"/>
    <w:rsid w:val="338C06FC"/>
    <w:rsid w:val="33F56526"/>
    <w:rsid w:val="34D439B4"/>
    <w:rsid w:val="368843D0"/>
    <w:rsid w:val="391027EC"/>
    <w:rsid w:val="3B2D1219"/>
    <w:rsid w:val="3D92647A"/>
    <w:rsid w:val="3E1B4C9D"/>
    <w:rsid w:val="3E91575D"/>
    <w:rsid w:val="3F5C0A16"/>
    <w:rsid w:val="401A7825"/>
    <w:rsid w:val="40BF6BC9"/>
    <w:rsid w:val="40E1210B"/>
    <w:rsid w:val="41542CFD"/>
    <w:rsid w:val="4744543E"/>
    <w:rsid w:val="48F41628"/>
    <w:rsid w:val="492A4BB1"/>
    <w:rsid w:val="49861B6A"/>
    <w:rsid w:val="4A77233E"/>
    <w:rsid w:val="4BB91BB3"/>
    <w:rsid w:val="4BF10DDC"/>
    <w:rsid w:val="4F2A2171"/>
    <w:rsid w:val="50622B1F"/>
    <w:rsid w:val="50C64783"/>
    <w:rsid w:val="50FE5570"/>
    <w:rsid w:val="52A92335"/>
    <w:rsid w:val="5338060D"/>
    <w:rsid w:val="55192BD3"/>
    <w:rsid w:val="55B9544B"/>
    <w:rsid w:val="563343BC"/>
    <w:rsid w:val="564E5371"/>
    <w:rsid w:val="58DF7946"/>
    <w:rsid w:val="59506972"/>
    <w:rsid w:val="59816098"/>
    <w:rsid w:val="599A6DD6"/>
    <w:rsid w:val="59A925CC"/>
    <w:rsid w:val="5A0D3098"/>
    <w:rsid w:val="5C363C14"/>
    <w:rsid w:val="5C367984"/>
    <w:rsid w:val="5C5C3385"/>
    <w:rsid w:val="5D252F07"/>
    <w:rsid w:val="5D7E1613"/>
    <w:rsid w:val="5E965748"/>
    <w:rsid w:val="5FB23A2F"/>
    <w:rsid w:val="613009DC"/>
    <w:rsid w:val="61DC0023"/>
    <w:rsid w:val="65935BC8"/>
    <w:rsid w:val="666F2A4C"/>
    <w:rsid w:val="6C535F86"/>
    <w:rsid w:val="6F364C98"/>
    <w:rsid w:val="6FF65754"/>
    <w:rsid w:val="70206718"/>
    <w:rsid w:val="70D12082"/>
    <w:rsid w:val="7174432C"/>
    <w:rsid w:val="71BB4B7F"/>
    <w:rsid w:val="72E222D2"/>
    <w:rsid w:val="758902E5"/>
    <w:rsid w:val="76AC6ABE"/>
    <w:rsid w:val="7785551F"/>
    <w:rsid w:val="77D921EC"/>
    <w:rsid w:val="783A3050"/>
    <w:rsid w:val="7BC84A7A"/>
    <w:rsid w:val="7CBA1DDD"/>
    <w:rsid w:val="7DAC20BE"/>
    <w:rsid w:val="7DD712F2"/>
    <w:rsid w:val="7EC37C12"/>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GB" w:eastAsia="zh-CN" w:bidi="ar-SA"/>
    </w:rPr>
  </w:style>
  <w:style w:type="paragraph" w:styleId="2">
    <w:name w:val="heading 1"/>
    <w:basedOn w:val="1"/>
    <w:next w:val="1"/>
    <w:link w:val="26"/>
    <w:qFormat/>
    <w:uiPriority w:val="0"/>
    <w:pPr>
      <w:keepNext/>
      <w:keepLines/>
      <w:numPr>
        <w:ilvl w:val="0"/>
        <w:numId w:val="1"/>
      </w:numPr>
      <w:pBdr>
        <w:top w:val="single" w:color="auto" w:sz="12" w:space="3"/>
      </w:pBdr>
      <w:spacing w:before="240" w:after="180"/>
      <w:outlineLvl w:val="0"/>
    </w:pPr>
    <w:rPr>
      <w:rFonts w:cs="Arial"/>
      <w:sz w:val="36"/>
      <w:szCs w:val="36"/>
    </w:rPr>
  </w:style>
  <w:style w:type="paragraph" w:styleId="3">
    <w:name w:val="heading 2"/>
    <w:basedOn w:val="2"/>
    <w:next w:val="1"/>
    <w:link w:val="27"/>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28"/>
    <w:qFormat/>
    <w:uiPriority w:val="0"/>
    <w:pPr>
      <w:numPr>
        <w:ilvl w:val="2"/>
      </w:numPr>
      <w:spacing w:before="120"/>
      <w:outlineLvl w:val="2"/>
    </w:pPr>
    <w:rPr>
      <w:sz w:val="28"/>
      <w:szCs w:val="28"/>
    </w:rPr>
  </w:style>
  <w:style w:type="paragraph" w:styleId="5">
    <w:name w:val="heading 4"/>
    <w:basedOn w:val="1"/>
    <w:next w:val="1"/>
    <w:link w:val="29"/>
    <w:qFormat/>
    <w:uiPriority w:val="0"/>
    <w:pPr>
      <w:tabs>
        <w:tab w:val="left" w:pos="432"/>
      </w:tabs>
      <w:outlineLvl w:val="3"/>
    </w:pPr>
    <w:rPr>
      <w:sz w:val="24"/>
      <w:szCs w:val="24"/>
    </w:rPr>
  </w:style>
  <w:style w:type="paragraph" w:styleId="6">
    <w:name w:val="heading 5"/>
    <w:basedOn w:val="5"/>
    <w:next w:val="1"/>
    <w:link w:val="30"/>
    <w:qFormat/>
    <w:uiPriority w:val="0"/>
    <w:pPr>
      <w:outlineLvl w:val="4"/>
    </w:pPr>
    <w:rPr>
      <w:sz w:val="22"/>
      <w:szCs w:val="22"/>
    </w:rPr>
  </w:style>
  <w:style w:type="paragraph" w:styleId="7">
    <w:name w:val="heading 6"/>
    <w:basedOn w:val="1"/>
    <w:next w:val="1"/>
    <w:link w:val="31"/>
    <w:qFormat/>
    <w:uiPriority w:val="0"/>
    <w:pPr>
      <w:keepNext/>
      <w:keepLines/>
      <w:numPr>
        <w:ilvl w:val="5"/>
        <w:numId w:val="1"/>
      </w:numPr>
      <w:spacing w:before="120"/>
      <w:outlineLvl w:val="5"/>
    </w:pPr>
    <w:rPr>
      <w:rFonts w:cs="Arial"/>
    </w:rPr>
  </w:style>
  <w:style w:type="paragraph" w:styleId="8">
    <w:name w:val="heading 7"/>
    <w:basedOn w:val="1"/>
    <w:next w:val="1"/>
    <w:link w:val="32"/>
    <w:qFormat/>
    <w:uiPriority w:val="0"/>
    <w:pPr>
      <w:keepNext/>
      <w:keepLines/>
      <w:numPr>
        <w:ilvl w:val="6"/>
        <w:numId w:val="1"/>
      </w:numPr>
      <w:spacing w:before="120"/>
      <w:outlineLvl w:val="6"/>
    </w:pPr>
    <w:rPr>
      <w:rFonts w:cs="Arial"/>
    </w:rPr>
  </w:style>
  <w:style w:type="paragraph" w:styleId="9">
    <w:name w:val="heading 8"/>
    <w:basedOn w:val="8"/>
    <w:next w:val="1"/>
    <w:link w:val="33"/>
    <w:qFormat/>
    <w:uiPriority w:val="0"/>
    <w:pPr>
      <w:numPr>
        <w:ilvl w:val="7"/>
      </w:numPr>
      <w:outlineLvl w:val="7"/>
    </w:pPr>
  </w:style>
  <w:style w:type="paragraph" w:styleId="10">
    <w:name w:val="heading 9"/>
    <w:basedOn w:val="9"/>
    <w:next w:val="1"/>
    <w:link w:val="34"/>
    <w:qFormat/>
    <w:uiPriority w:val="0"/>
    <w:pPr>
      <w:numPr>
        <w:ilvl w:val="8"/>
      </w:numPr>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caption"/>
    <w:next w:val="12"/>
    <w:link w:val="59"/>
    <w:qFormat/>
    <w:uiPriority w:val="0"/>
    <w:pPr>
      <w:spacing w:before="120" w:after="120"/>
      <w:ind w:left="2438" w:hanging="1134"/>
    </w:pPr>
    <w:rPr>
      <w:rFonts w:ascii="Arial" w:hAnsi="Arial" w:eastAsia="Times New Roman" w:cs="Times New Roman"/>
      <w:kern w:val="20"/>
      <w:lang w:val="en-US" w:eastAsia="en-US" w:bidi="ar-SA"/>
    </w:rPr>
  </w:style>
  <w:style w:type="paragraph" w:styleId="12">
    <w:name w:val="Body Text"/>
    <w:basedOn w:val="1"/>
    <w:link w:val="46"/>
    <w:semiHidden/>
    <w:unhideWhenUsed/>
    <w:qFormat/>
    <w:uiPriority w:val="99"/>
  </w:style>
  <w:style w:type="paragraph" w:styleId="13">
    <w:name w:val="annotation text"/>
    <w:basedOn w:val="1"/>
    <w:link w:val="37"/>
    <w:qFormat/>
    <w:uiPriority w:val="0"/>
  </w:style>
  <w:style w:type="paragraph" w:styleId="14">
    <w:name w:val="Balloon Text"/>
    <w:basedOn w:val="1"/>
    <w:link w:val="47"/>
    <w:semiHidden/>
    <w:unhideWhenUsed/>
    <w:qFormat/>
    <w:uiPriority w:val="99"/>
    <w:pPr>
      <w:spacing w:after="0"/>
    </w:pPr>
    <w:rPr>
      <w:rFonts w:ascii="Segoe UI" w:hAnsi="Segoe UI" w:cs="Segoe UI"/>
      <w:sz w:val="18"/>
      <w:szCs w:val="18"/>
    </w:rPr>
  </w:style>
  <w:style w:type="paragraph" w:styleId="15">
    <w:name w:val="footer"/>
    <w:basedOn w:val="16"/>
    <w:link w:val="36"/>
    <w:qFormat/>
    <w:uiPriority w:val="99"/>
    <w:pPr>
      <w:widowControl w:val="0"/>
      <w:tabs>
        <w:tab w:val="center" w:pos="4513"/>
        <w:tab w:val="right" w:pos="9026"/>
      </w:tabs>
      <w:jc w:val="center"/>
    </w:pPr>
    <w:rPr>
      <w:rFonts w:cs="Arial"/>
      <w:b/>
      <w:bCs/>
      <w:i/>
      <w:iCs/>
      <w:sz w:val="18"/>
      <w:szCs w:val="18"/>
      <w:lang w:val="en-US"/>
    </w:rPr>
  </w:style>
  <w:style w:type="paragraph" w:styleId="16">
    <w:name w:val="header"/>
    <w:basedOn w:val="1"/>
    <w:link w:val="45"/>
    <w:unhideWhenUsed/>
    <w:qFormat/>
    <w:uiPriority w:val="99"/>
    <w:pPr>
      <w:tabs>
        <w:tab w:val="center" w:pos="4513"/>
        <w:tab w:val="right" w:pos="9026"/>
      </w:tabs>
      <w:spacing w:after="0"/>
    </w:pPr>
  </w:style>
  <w:style w:type="paragraph" w:styleId="17">
    <w:name w:val="List"/>
    <w:basedOn w:val="1"/>
    <w:semiHidden/>
    <w:unhideWhenUsed/>
    <w:qFormat/>
    <w:uiPriority w:val="99"/>
    <w:pPr>
      <w:ind w:left="283" w:hanging="283"/>
      <w:contextualSpacing/>
    </w:pPr>
  </w:style>
  <w:style w:type="paragraph" w:styleId="18">
    <w:name w:val="Normal (Web)"/>
    <w:basedOn w:val="1"/>
    <w:semiHidden/>
    <w:unhideWhenUsed/>
    <w:qFormat/>
    <w:uiPriority w:val="99"/>
    <w:rPr>
      <w:sz w:val="24"/>
    </w:rPr>
  </w:style>
  <w:style w:type="paragraph" w:styleId="19">
    <w:name w:val="annotation subject"/>
    <w:basedOn w:val="13"/>
    <w:next w:val="13"/>
    <w:link w:val="48"/>
    <w:semiHidden/>
    <w:unhideWhenUsed/>
    <w:qFormat/>
    <w:uiPriority w:val="99"/>
    <w:rPr>
      <w:b/>
      <w:bCs/>
    </w:rPr>
  </w:style>
  <w:style w:type="table" w:styleId="21">
    <w:name w:val="Table Grid"/>
    <w:basedOn w:val="20"/>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semiHidden/>
    <w:qFormat/>
    <w:uiPriority w:val="0"/>
  </w:style>
  <w:style w:type="character" w:styleId="24">
    <w:name w:val="Hyperlink"/>
    <w:basedOn w:val="22"/>
    <w:qFormat/>
    <w:uiPriority w:val="99"/>
    <w:rPr>
      <w:color w:val="0000FF"/>
      <w:u w:val="single"/>
      <w:lang w:val="en-GB"/>
    </w:rPr>
  </w:style>
  <w:style w:type="character" w:styleId="25">
    <w:name w:val="annotation reference"/>
    <w:qFormat/>
    <w:uiPriority w:val="0"/>
    <w:rPr>
      <w:sz w:val="16"/>
      <w:szCs w:val="16"/>
    </w:rPr>
  </w:style>
  <w:style w:type="character" w:customStyle="1" w:styleId="26">
    <w:name w:val="标题 1 字符"/>
    <w:basedOn w:val="22"/>
    <w:link w:val="2"/>
    <w:qFormat/>
    <w:uiPriority w:val="0"/>
    <w:rPr>
      <w:rFonts w:ascii="Arial" w:hAnsi="Arial" w:eastAsia="Times New Roman" w:cs="Arial"/>
      <w:sz w:val="36"/>
      <w:szCs w:val="36"/>
      <w:lang w:val="en-GB" w:eastAsia="zh-CN"/>
    </w:rPr>
  </w:style>
  <w:style w:type="character" w:customStyle="1" w:styleId="27">
    <w:name w:val="标题 2 字符"/>
    <w:basedOn w:val="22"/>
    <w:link w:val="3"/>
    <w:qFormat/>
    <w:uiPriority w:val="0"/>
    <w:rPr>
      <w:rFonts w:ascii="Arial" w:hAnsi="Arial" w:eastAsia="Times New Roman" w:cs="Arial"/>
      <w:sz w:val="32"/>
      <w:szCs w:val="32"/>
      <w:lang w:val="en-GB" w:eastAsia="zh-CN"/>
    </w:rPr>
  </w:style>
  <w:style w:type="character" w:customStyle="1" w:styleId="28">
    <w:name w:val="标题 3 字符"/>
    <w:basedOn w:val="22"/>
    <w:link w:val="4"/>
    <w:qFormat/>
    <w:uiPriority w:val="0"/>
    <w:rPr>
      <w:rFonts w:ascii="Arial" w:hAnsi="Arial" w:eastAsia="Times New Roman" w:cs="Arial"/>
      <w:sz w:val="28"/>
      <w:szCs w:val="28"/>
      <w:lang w:val="en-GB" w:eastAsia="zh-CN"/>
    </w:rPr>
  </w:style>
  <w:style w:type="character" w:customStyle="1" w:styleId="29">
    <w:name w:val="标题 4 字符"/>
    <w:basedOn w:val="22"/>
    <w:link w:val="5"/>
    <w:qFormat/>
    <w:uiPriority w:val="0"/>
    <w:rPr>
      <w:rFonts w:ascii="Arial" w:hAnsi="Arial" w:eastAsia="Times New Roman" w:cs="Arial"/>
      <w:sz w:val="24"/>
      <w:szCs w:val="24"/>
      <w:lang w:val="en-GB" w:eastAsia="zh-CN"/>
    </w:rPr>
  </w:style>
  <w:style w:type="character" w:customStyle="1" w:styleId="30">
    <w:name w:val="标题 5 字符"/>
    <w:basedOn w:val="22"/>
    <w:link w:val="6"/>
    <w:qFormat/>
    <w:uiPriority w:val="0"/>
    <w:rPr>
      <w:rFonts w:ascii="Arial" w:hAnsi="Arial" w:eastAsia="Times New Roman" w:cs="Arial"/>
      <w:lang w:val="en-GB" w:eastAsia="zh-CN"/>
    </w:rPr>
  </w:style>
  <w:style w:type="character" w:customStyle="1" w:styleId="31">
    <w:name w:val="标题 6 字符"/>
    <w:basedOn w:val="22"/>
    <w:link w:val="7"/>
    <w:qFormat/>
    <w:uiPriority w:val="0"/>
    <w:rPr>
      <w:rFonts w:ascii="Arial" w:hAnsi="Arial" w:eastAsia="Times New Roman" w:cs="Arial"/>
      <w:sz w:val="20"/>
      <w:szCs w:val="20"/>
      <w:lang w:val="en-GB" w:eastAsia="zh-CN"/>
    </w:rPr>
  </w:style>
  <w:style w:type="character" w:customStyle="1" w:styleId="32">
    <w:name w:val="标题 7 字符"/>
    <w:basedOn w:val="22"/>
    <w:link w:val="8"/>
    <w:qFormat/>
    <w:uiPriority w:val="0"/>
    <w:rPr>
      <w:rFonts w:ascii="Arial" w:hAnsi="Arial" w:eastAsia="Times New Roman" w:cs="Arial"/>
      <w:sz w:val="20"/>
      <w:szCs w:val="20"/>
      <w:lang w:val="en-GB" w:eastAsia="zh-CN"/>
    </w:rPr>
  </w:style>
  <w:style w:type="character" w:customStyle="1" w:styleId="33">
    <w:name w:val="标题 8 字符"/>
    <w:basedOn w:val="22"/>
    <w:link w:val="9"/>
    <w:qFormat/>
    <w:uiPriority w:val="0"/>
    <w:rPr>
      <w:rFonts w:ascii="Arial" w:hAnsi="Arial" w:eastAsia="Times New Roman" w:cs="Arial"/>
      <w:sz w:val="20"/>
      <w:szCs w:val="20"/>
      <w:lang w:val="en-GB" w:eastAsia="zh-CN"/>
    </w:rPr>
  </w:style>
  <w:style w:type="character" w:customStyle="1" w:styleId="34">
    <w:name w:val="标题 9 字符"/>
    <w:basedOn w:val="22"/>
    <w:link w:val="10"/>
    <w:qFormat/>
    <w:uiPriority w:val="0"/>
    <w:rPr>
      <w:rFonts w:ascii="Arial" w:hAnsi="Arial" w:eastAsia="Times New Roman" w:cs="Arial"/>
      <w:sz w:val="20"/>
      <w:szCs w:val="20"/>
      <w:lang w:val="en-GB" w:eastAsia="zh-CN"/>
    </w:rPr>
  </w:style>
  <w:style w:type="paragraph" w:customStyle="1" w:styleId="35">
    <w:name w:val="3GPP_Header"/>
    <w:basedOn w:val="1"/>
    <w:qFormat/>
    <w:uiPriority w:val="0"/>
    <w:pPr>
      <w:tabs>
        <w:tab w:val="left" w:pos="1701"/>
        <w:tab w:val="right" w:pos="9639"/>
      </w:tabs>
      <w:spacing w:after="240"/>
    </w:pPr>
    <w:rPr>
      <w:b/>
      <w:sz w:val="24"/>
    </w:rPr>
  </w:style>
  <w:style w:type="character" w:customStyle="1" w:styleId="36">
    <w:name w:val="页脚 字符"/>
    <w:basedOn w:val="22"/>
    <w:link w:val="15"/>
    <w:qFormat/>
    <w:uiPriority w:val="99"/>
    <w:rPr>
      <w:rFonts w:ascii="Arial" w:hAnsi="Arial" w:eastAsia="Times New Roman" w:cs="Arial"/>
      <w:b/>
      <w:bCs/>
      <w:i/>
      <w:iCs/>
      <w:sz w:val="18"/>
      <w:szCs w:val="18"/>
      <w:lang w:val="en-US" w:eastAsia="zh-CN"/>
    </w:rPr>
  </w:style>
  <w:style w:type="character" w:customStyle="1" w:styleId="37">
    <w:name w:val="批注文字 字符"/>
    <w:basedOn w:val="22"/>
    <w:link w:val="13"/>
    <w:qFormat/>
    <w:uiPriority w:val="0"/>
    <w:rPr>
      <w:rFonts w:ascii="Arial" w:hAnsi="Arial" w:eastAsia="Times New Roman" w:cs="Times New Roman"/>
      <w:sz w:val="20"/>
      <w:szCs w:val="20"/>
      <w:lang w:val="en-GB" w:eastAsia="zh-CN"/>
    </w:rPr>
  </w:style>
  <w:style w:type="paragraph" w:customStyle="1" w:styleId="38">
    <w:name w:val="B1"/>
    <w:basedOn w:val="17"/>
    <w:link w:val="40"/>
    <w:qFormat/>
    <w:uiPriority w:val="0"/>
    <w:pPr>
      <w:spacing w:after="180"/>
      <w:ind w:left="568" w:hanging="284"/>
      <w:contextualSpacing w:val="0"/>
      <w:jc w:val="left"/>
    </w:pPr>
    <w:rPr>
      <w:lang w:eastAsia="en-US"/>
    </w:rPr>
  </w:style>
  <w:style w:type="paragraph" w:styleId="39">
    <w:name w:val="List Paragraph"/>
    <w:basedOn w:val="1"/>
    <w:link w:val="50"/>
    <w:qFormat/>
    <w:uiPriority w:val="34"/>
    <w:pPr>
      <w:ind w:left="720"/>
      <w:contextualSpacing/>
    </w:pPr>
  </w:style>
  <w:style w:type="character" w:customStyle="1" w:styleId="40">
    <w:name w:val="B1 Char1"/>
    <w:link w:val="38"/>
    <w:qFormat/>
    <w:uiPriority w:val="0"/>
    <w:rPr>
      <w:rFonts w:ascii="Arial" w:hAnsi="Arial" w:eastAsia="Times New Roman" w:cs="Times New Roman"/>
      <w:sz w:val="20"/>
      <w:szCs w:val="20"/>
      <w:lang w:val="en-GB"/>
    </w:rPr>
  </w:style>
  <w:style w:type="paragraph" w:customStyle="1" w:styleId="41">
    <w:name w:val="IvD Instructiontext"/>
    <w:basedOn w:val="12"/>
    <w:link w:val="42"/>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42">
    <w:name w:val="IvD Instructiontext Char"/>
    <w:link w:val="41"/>
    <w:qFormat/>
    <w:uiPriority w:val="99"/>
    <w:rPr>
      <w:rFonts w:ascii="Arial" w:hAnsi="Arial" w:eastAsia="Times New Roman" w:cs="Times New Roman"/>
      <w:i/>
      <w:color w:val="7F7F7F"/>
      <w:spacing w:val="2"/>
      <w:sz w:val="18"/>
      <w:szCs w:val="18"/>
      <w:lang w:val="en-US"/>
    </w:rPr>
  </w:style>
  <w:style w:type="paragraph" w:customStyle="1" w:styleId="43">
    <w:name w:val="IvD bodytext"/>
    <w:basedOn w:val="12"/>
    <w:link w:val="44"/>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44">
    <w:name w:val="IvD bodytext Char"/>
    <w:link w:val="43"/>
    <w:qFormat/>
    <w:uiPriority w:val="0"/>
    <w:rPr>
      <w:rFonts w:ascii="Arial" w:hAnsi="Arial" w:eastAsia="Times New Roman" w:cs="Times New Roman"/>
      <w:spacing w:val="2"/>
      <w:sz w:val="20"/>
      <w:szCs w:val="20"/>
      <w:lang w:val="en-US"/>
    </w:rPr>
  </w:style>
  <w:style w:type="character" w:customStyle="1" w:styleId="45">
    <w:name w:val="页眉 字符"/>
    <w:basedOn w:val="22"/>
    <w:link w:val="16"/>
    <w:qFormat/>
    <w:uiPriority w:val="99"/>
    <w:rPr>
      <w:rFonts w:ascii="Arial" w:hAnsi="Arial" w:eastAsia="Times New Roman" w:cs="Times New Roman"/>
      <w:sz w:val="20"/>
      <w:szCs w:val="20"/>
      <w:lang w:val="en-GB" w:eastAsia="zh-CN"/>
    </w:rPr>
  </w:style>
  <w:style w:type="character" w:customStyle="1" w:styleId="46">
    <w:name w:val="正文文本 字符"/>
    <w:basedOn w:val="22"/>
    <w:link w:val="12"/>
    <w:semiHidden/>
    <w:qFormat/>
    <w:uiPriority w:val="99"/>
    <w:rPr>
      <w:rFonts w:ascii="Arial" w:hAnsi="Arial" w:eastAsia="Times New Roman" w:cs="Times New Roman"/>
      <w:sz w:val="20"/>
      <w:szCs w:val="20"/>
      <w:lang w:val="en-GB" w:eastAsia="zh-CN"/>
    </w:rPr>
  </w:style>
  <w:style w:type="character" w:customStyle="1" w:styleId="47">
    <w:name w:val="批注框文本 字符"/>
    <w:basedOn w:val="22"/>
    <w:link w:val="14"/>
    <w:semiHidden/>
    <w:qFormat/>
    <w:uiPriority w:val="99"/>
    <w:rPr>
      <w:rFonts w:ascii="Segoe UI" w:hAnsi="Segoe UI" w:eastAsia="Times New Roman" w:cs="Segoe UI"/>
      <w:sz w:val="18"/>
      <w:szCs w:val="18"/>
      <w:lang w:val="en-GB" w:eastAsia="zh-CN"/>
    </w:rPr>
  </w:style>
  <w:style w:type="character" w:customStyle="1" w:styleId="48">
    <w:name w:val="批注主题 字符"/>
    <w:basedOn w:val="37"/>
    <w:link w:val="19"/>
    <w:semiHidden/>
    <w:qFormat/>
    <w:uiPriority w:val="99"/>
    <w:rPr>
      <w:rFonts w:ascii="Arial" w:hAnsi="Arial" w:eastAsia="Times New Roman" w:cs="Times New Roman"/>
      <w:b/>
      <w:bCs/>
      <w:sz w:val="20"/>
      <w:szCs w:val="20"/>
      <w:lang w:val="en-GB" w:eastAsia="zh-CN"/>
    </w:rPr>
  </w:style>
  <w:style w:type="character" w:customStyle="1" w:styleId="49">
    <w:name w:val="B1 Char"/>
    <w:qFormat/>
    <w:locked/>
    <w:uiPriority w:val="0"/>
    <w:rPr>
      <w:lang w:val="en-GB" w:eastAsia="zh-CN"/>
    </w:rPr>
  </w:style>
  <w:style w:type="character" w:customStyle="1" w:styleId="50">
    <w:name w:val="列表段落 字符"/>
    <w:link w:val="39"/>
    <w:qFormat/>
    <w:locked/>
    <w:uiPriority w:val="34"/>
    <w:rPr>
      <w:rFonts w:ascii="Arial" w:hAnsi="Arial" w:eastAsia="Times New Roman" w:cs="Times New Roman"/>
      <w:sz w:val="20"/>
      <w:szCs w:val="20"/>
      <w:lang w:val="en-GB" w:eastAsia="zh-CN"/>
    </w:rPr>
  </w:style>
  <w:style w:type="paragraph" w:customStyle="1" w:styleId="51">
    <w:name w:val="CR Cover Page"/>
    <w:link w:val="52"/>
    <w:qFormat/>
    <w:uiPriority w:val="0"/>
    <w:pPr>
      <w:spacing w:after="120"/>
    </w:pPr>
    <w:rPr>
      <w:rFonts w:ascii="Arial" w:hAnsi="Arial" w:cs="Times New Roman" w:eastAsiaTheme="minorEastAsia"/>
      <w:lang w:val="en-GB" w:eastAsia="en-US" w:bidi="ar-SA"/>
    </w:rPr>
  </w:style>
  <w:style w:type="character" w:customStyle="1" w:styleId="52">
    <w:name w:val="CR Cover Page Zchn"/>
    <w:link w:val="51"/>
    <w:qFormat/>
    <w:locked/>
    <w:uiPriority w:val="0"/>
    <w:rPr>
      <w:rFonts w:ascii="Arial" w:hAnsi="Arial" w:cs="Times New Roman" w:eastAsiaTheme="minorEastAsia"/>
      <w:sz w:val="20"/>
      <w:szCs w:val="20"/>
      <w:lang w:val="en-GB"/>
    </w:rPr>
  </w:style>
  <w:style w:type="character" w:customStyle="1" w:styleId="53">
    <w:name w:val="PL Char"/>
    <w:link w:val="54"/>
    <w:qFormat/>
    <w:uiPriority w:val="0"/>
    <w:rPr>
      <w:rFonts w:ascii="Courier New" w:hAnsi="Courier New"/>
      <w:sz w:val="16"/>
      <w:lang w:val="en-GB"/>
    </w:rPr>
  </w:style>
  <w:style w:type="paragraph" w:customStyle="1" w:styleId="54">
    <w:name w:val="PL"/>
    <w:link w:val="5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heme="minorBidi"/>
      <w:sz w:val="16"/>
      <w:szCs w:val="22"/>
      <w:lang w:val="en-GB" w:eastAsia="en-US" w:bidi="ar-SA"/>
    </w:rPr>
  </w:style>
  <w:style w:type="paragraph" w:customStyle="1" w:styleId="55">
    <w:name w:val="TAL"/>
    <w:basedOn w:val="1"/>
    <w:link w:val="56"/>
    <w:qFormat/>
    <w:uiPriority w:val="0"/>
    <w:pPr>
      <w:keepNext/>
      <w:keepLines/>
      <w:spacing w:after="0"/>
      <w:jc w:val="left"/>
    </w:pPr>
    <w:rPr>
      <w:sz w:val="18"/>
      <w:lang w:val="zh-CN"/>
    </w:rPr>
  </w:style>
  <w:style w:type="character" w:customStyle="1" w:styleId="56">
    <w:name w:val="TAL Car"/>
    <w:link w:val="55"/>
    <w:qFormat/>
    <w:uiPriority w:val="0"/>
    <w:rPr>
      <w:rFonts w:ascii="Arial" w:hAnsi="Arial" w:eastAsia="Times New Roman" w:cs="Times New Roman"/>
      <w:sz w:val="18"/>
      <w:szCs w:val="20"/>
      <w:lang w:val="zh-CN" w:eastAsia="zh-CN"/>
    </w:rPr>
  </w:style>
  <w:style w:type="paragraph" w:customStyle="1" w:styleId="57">
    <w:name w:val="TAH"/>
    <w:basedOn w:val="1"/>
    <w:link w:val="58"/>
    <w:qFormat/>
    <w:uiPriority w:val="0"/>
    <w:pPr>
      <w:keepNext/>
      <w:keepLines/>
      <w:overflowPunct/>
      <w:autoSpaceDE/>
      <w:autoSpaceDN/>
      <w:adjustRightInd/>
      <w:spacing w:after="0" w:line="259" w:lineRule="auto"/>
      <w:jc w:val="center"/>
      <w:textAlignment w:val="auto"/>
    </w:pPr>
    <w:rPr>
      <w:rFonts w:asciiTheme="minorHAnsi" w:hAnsiTheme="minorHAnsi" w:eastAsiaTheme="minorHAnsi" w:cstheme="minorBidi"/>
      <w:b/>
      <w:sz w:val="18"/>
      <w:szCs w:val="22"/>
      <w:lang w:val="en-US" w:eastAsia="en-US"/>
    </w:rPr>
  </w:style>
  <w:style w:type="character" w:customStyle="1" w:styleId="58">
    <w:name w:val="TAH Car"/>
    <w:link w:val="57"/>
    <w:qFormat/>
    <w:locked/>
    <w:uiPriority w:val="0"/>
    <w:rPr>
      <w:b/>
      <w:sz w:val="18"/>
      <w:lang w:val="en-US"/>
    </w:rPr>
  </w:style>
  <w:style w:type="character" w:customStyle="1" w:styleId="59">
    <w:name w:val="题注 字符"/>
    <w:basedOn w:val="22"/>
    <w:link w:val="11"/>
    <w:qFormat/>
    <w:uiPriority w:val="0"/>
    <w:rPr>
      <w:rFonts w:ascii="Arial" w:hAnsi="Arial" w:eastAsia="Times New Roman" w:cs="Times New Roman"/>
      <w:kern w:val="20"/>
      <w:sz w:val="20"/>
      <w:szCs w:val="20"/>
      <w:lang w:val="en-US"/>
    </w:rPr>
  </w:style>
  <w:style w:type="character" w:customStyle="1" w:styleId="60">
    <w:name w:val="TAL Char"/>
    <w:qFormat/>
    <w:uiPriority w:val="0"/>
    <w:rPr>
      <w:rFonts w:ascii="Arial" w:hAnsi="Arial"/>
      <w:sz w:val="18"/>
      <w:lang w:val="en-GB" w:eastAsia="en-US"/>
    </w:rPr>
  </w:style>
  <w:style w:type="character" w:customStyle="1" w:styleId="61">
    <w:name w:val="TAH Char"/>
    <w:qFormat/>
    <w:uiPriority w:val="0"/>
    <w:rPr>
      <w:rFonts w:ascii="Arial" w:hAnsi="Arial"/>
      <w:b/>
      <w:sz w:val="18"/>
      <w:lang w:val="en-GB" w:eastAsia="en-US"/>
    </w:rPr>
  </w:style>
  <w:style w:type="character" w:customStyle="1" w:styleId="62">
    <w:name w:val="WW8Num1z1"/>
    <w:qFormat/>
    <w:uiPriority w:val="0"/>
    <w:rPr>
      <w:rFonts w:hint="default" w:ascii="Courier New" w:hAnsi="Courier New" w:cs="Courier New"/>
    </w:rPr>
  </w:style>
  <w:style w:type="paragraph" w:customStyle="1" w:styleId="63">
    <w:name w:val="修订1"/>
    <w:hidden/>
    <w:semiHidden/>
    <w:qFormat/>
    <w:uiPriority w:val="99"/>
    <w:rPr>
      <w:rFonts w:ascii="Arial" w:hAnsi="Arial" w:eastAsia="Times New Roman" w:cs="Times New Roman"/>
      <w:lang w:val="en-GB" w:eastAsia="zh-CN" w:bidi="ar-SA"/>
    </w:rPr>
  </w:style>
  <w:style w:type="paragraph" w:customStyle="1" w:styleId="64">
    <w:name w:val="Reference"/>
    <w:basedOn w:val="12"/>
    <w:qFormat/>
    <w:uiPriority w:val="0"/>
    <w:pPr>
      <w:numPr>
        <w:ilvl w:val="0"/>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65">
    <w:name w:val="TAC"/>
    <w:basedOn w:val="55"/>
    <w:link w:val="66"/>
    <w:qFormat/>
    <w:uiPriority w:val="0"/>
    <w:pPr>
      <w:jc w:val="center"/>
    </w:pPr>
    <w:rPr>
      <w:lang w:val="en-GB" w:eastAsia="en-GB"/>
    </w:rPr>
  </w:style>
  <w:style w:type="character" w:customStyle="1" w:styleId="66">
    <w:name w:val="TAC Char"/>
    <w:basedOn w:val="60"/>
    <w:link w:val="65"/>
    <w:qFormat/>
    <w:locked/>
    <w:uiPriority w:val="0"/>
    <w:rPr>
      <w:rFonts w:ascii="Arial" w:hAnsi="Arial" w:eastAsia="Times New Roman" w:cs="Times New Roman"/>
      <w:sz w:val="18"/>
      <w:szCs w:val="20"/>
      <w:lang w:val="en-GB" w:eastAsia="en-GB"/>
    </w:rPr>
  </w:style>
  <w:style w:type="paragraph" w:customStyle="1" w:styleId="67">
    <w:name w:val="TF"/>
    <w:basedOn w:val="68"/>
    <w:link w:val="69"/>
    <w:qFormat/>
    <w:uiPriority w:val="0"/>
    <w:pPr>
      <w:overflowPunct/>
      <w:autoSpaceDE/>
      <w:autoSpaceDN/>
      <w:adjustRightInd/>
      <w:spacing w:after="240"/>
      <w:textAlignment w:val="auto"/>
    </w:pPr>
    <w:rPr>
      <w:rFonts w:eastAsia="宋体"/>
      <w:lang w:eastAsia="en-US"/>
    </w:rPr>
  </w:style>
  <w:style w:type="paragraph" w:customStyle="1" w:styleId="68">
    <w:name w:val="TH"/>
    <w:basedOn w:val="1"/>
    <w:qFormat/>
    <w:uiPriority w:val="0"/>
    <w:pPr>
      <w:keepNext/>
      <w:keepLines/>
      <w:spacing w:before="60"/>
      <w:jc w:val="center"/>
    </w:pPr>
    <w:rPr>
      <w:rFonts w:eastAsia="MS Mincho"/>
      <w:b/>
    </w:rPr>
  </w:style>
  <w:style w:type="character" w:customStyle="1" w:styleId="69">
    <w:name w:val="TF Char"/>
    <w:link w:val="67"/>
    <w:qFormat/>
    <w:uiPriority w:val="0"/>
    <w:rPr>
      <w:rFonts w:ascii="Arial" w:hAnsi="Arial" w:eastAsia="宋体" w:cs="Times New Roman"/>
      <w:b/>
      <w:sz w:val="20"/>
      <w:szCs w:val="20"/>
      <w:lang w:val="en-GB"/>
    </w:rPr>
  </w:style>
  <w:style w:type="paragraph" w:customStyle="1" w:styleId="70">
    <w:name w:val="Proposal"/>
    <w:basedOn w:val="12"/>
    <w:qFormat/>
    <w:uiPriority w:val="0"/>
    <w:pPr>
      <w:numPr>
        <w:ilvl w:val="0"/>
        <w:numId w:val="3"/>
      </w:numPr>
      <w:tabs>
        <w:tab w:val="left" w:pos="1701"/>
      </w:tabs>
    </w:pPr>
    <w:rPr>
      <w:b/>
      <w:bCs/>
    </w:rPr>
  </w:style>
  <w:style w:type="paragraph" w:customStyle="1" w:styleId="71">
    <w:name w:val="Observation"/>
    <w:basedOn w:val="70"/>
    <w:qFormat/>
    <w:uiPriority w:val="0"/>
    <w:pPr>
      <w:numPr>
        <w:ilvl w:val="0"/>
        <w:numId w:val="4"/>
      </w:numPr>
    </w:pPr>
    <w:rPr>
      <w:lang w:eastAsia="ja-JP"/>
    </w:rPr>
  </w:style>
  <w:style w:type="paragraph" w:customStyle="1" w:styleId="72">
    <w:name w:val="Norml"/>
    <w:basedOn w:val="70"/>
    <w:qFormat/>
    <w:uiPriority w:val="0"/>
  </w:style>
  <w:style w:type="character" w:customStyle="1" w:styleId="73">
    <w:name w:val="未处理的提及1"/>
    <w:basedOn w:val="22"/>
    <w:unhideWhenUsed/>
    <w:qFormat/>
    <w:uiPriority w:val="99"/>
    <w:rPr>
      <w:color w:val="605E5C"/>
      <w:shd w:val="clear" w:color="auto" w:fill="E1DFDD"/>
    </w:rPr>
  </w:style>
  <w:style w:type="character" w:customStyle="1" w:styleId="74">
    <w:name w:val="@他1"/>
    <w:basedOn w:val="22"/>
    <w:unhideWhenUsed/>
    <w:qFormat/>
    <w:uiPriority w:val="99"/>
    <w:rPr>
      <w:color w:val="2B579A"/>
      <w:shd w:val="clear" w:color="auto" w:fill="E1DFDD"/>
    </w:rPr>
  </w:style>
  <w:style w:type="paragraph" w:customStyle="1" w:styleId="75">
    <w:name w:val="00 BodyText"/>
    <w:basedOn w:val="1"/>
    <w:qFormat/>
    <w:uiPriority w:val="0"/>
    <w:pPr>
      <w:overflowPunct/>
      <w:autoSpaceDE/>
      <w:autoSpaceDN/>
      <w:adjustRightInd/>
      <w:spacing w:after="220" w:line="276" w:lineRule="auto"/>
      <w:jc w:val="left"/>
      <w:textAlignment w:val="auto"/>
    </w:pPr>
    <w:rPr>
      <w:rFonts w:eastAsia="Calibri" w:cs="Calibri"/>
      <w:sz w:val="22"/>
      <w:szCs w:val="22"/>
      <w:lang w:val="en-US"/>
    </w:rPr>
  </w:style>
  <w:style w:type="paragraph" w:customStyle="1" w:styleId="76">
    <w:name w:val="正文1"/>
    <w:qFormat/>
    <w:uiPriority w:val="0"/>
    <w:pPr>
      <w:spacing w:before="100" w:beforeAutospacing="1" w:after="120"/>
    </w:pPr>
    <w:rPr>
      <w:rFonts w:ascii="Times New Roman" w:hAnsi="Times New Roman" w:eastAsia="MS Mincho" w:cs="Times New Roman"/>
      <w:sz w:val="22"/>
      <w:szCs w:val="22"/>
      <w:lang w:val="en-US" w:eastAsia="ko-KR" w:bidi="ar-SA"/>
    </w:rPr>
  </w:style>
  <w:style w:type="paragraph" w:styleId="77">
    <w:name w:val="No Spacing"/>
    <w:qFormat/>
    <w:uiPriority w:val="99"/>
    <w:pPr>
      <w:spacing w:after="160" w:line="259" w:lineRule="auto"/>
    </w:pPr>
    <w:rPr>
      <w:rFonts w:ascii="Calibri" w:hAnsi="Calibri" w:eastAsia="宋体" w:cs="Times New Roman"/>
      <w:sz w:val="22"/>
      <w:szCs w:val="22"/>
      <w:lang w:val="en-US" w:eastAsia="zh-CN" w:bidi="ar-SA"/>
    </w:rPr>
  </w:style>
  <w:style w:type="character" w:customStyle="1" w:styleId="78">
    <w:name w:val="首标题"/>
    <w:qFormat/>
    <w:uiPriority w:val="0"/>
    <w:rPr>
      <w:rFonts w:ascii="Arial" w:hAnsi="Arial" w:eastAsia="宋体"/>
      <w:sz w:val="24"/>
      <w:lang w:val="en-US" w:eastAsia="zh-CN" w:bidi="ar-SA"/>
    </w:rPr>
  </w:style>
  <w:style w:type="paragraph" w:customStyle="1" w:styleId="79">
    <w:name w:val="Revision"/>
    <w:hidden/>
    <w:semiHidden/>
    <w:qFormat/>
    <w:uiPriority w:val="99"/>
    <w:rPr>
      <w:rFonts w:ascii="Arial" w:hAnsi="Arial" w:eastAsia="Times New Roman" w:cs="Times New Roman"/>
      <w:lang w:val="en-GB"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5NUHHDQN7SK2-1476151046-499939</_dlc_DocId>
    <_dlc_DocIdUrl xmlns="f166a696-7b5b-4ccd-9f0c-ffde0cceec81">
      <Url>https://ericsson.sharepoint.com/sites/star/_layouts/15/DocIdRedir.aspx?ID=5NUHHDQN7SK2-1476151046-499939</Url>
      <Description>5NUHHDQN7SK2-1476151046-499939</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6DDB7C-9959-4AEC-AA49-498A6EC77218}">
  <ds:schemaRefs/>
</ds:datastoreItem>
</file>

<file path=customXml/itemProps2.xml><?xml version="1.0" encoding="utf-8"?>
<ds:datastoreItem xmlns:ds="http://schemas.openxmlformats.org/officeDocument/2006/customXml" ds:itemID="{47B6C18C-1520-4B3B-B15B-8E3929AD4F96}">
  <ds:schemaRefs/>
</ds:datastoreItem>
</file>

<file path=customXml/itemProps3.xml><?xml version="1.0" encoding="utf-8"?>
<ds:datastoreItem xmlns:ds="http://schemas.openxmlformats.org/officeDocument/2006/customXml" ds:itemID="{AFD3527F-078C-46FF-917C-D402B9DBDD85}">
  <ds:schemaRefs/>
</ds:datastoreItem>
</file>

<file path=customXml/itemProps4.xml><?xml version="1.0" encoding="utf-8"?>
<ds:datastoreItem xmlns:ds="http://schemas.openxmlformats.org/officeDocument/2006/customXml" ds:itemID="{AB067330-89E3-4362-9022-7EE22BBAB73C}">
  <ds:schemaRefs/>
</ds:datastoreItem>
</file>

<file path=customXml/itemProps5.xml><?xml version="1.0" encoding="utf-8"?>
<ds:datastoreItem xmlns:ds="http://schemas.openxmlformats.org/officeDocument/2006/customXml" ds:itemID="{7957D943-A877-475D-BA92-1F9DEC590F82}">
  <ds:schemaRefs/>
</ds:datastoreItem>
</file>

<file path=customXml/itemProps6.xml><?xml version="1.0" encoding="utf-8"?>
<ds:datastoreItem xmlns:ds="http://schemas.openxmlformats.org/officeDocument/2006/customXml" ds:itemID="{4C4EBDAD-F25C-4923-B5F8-0F15B0BFAADC}">
  <ds:schemaRefs/>
</ds:datastoreItem>
</file>

<file path=docProps/app.xml><?xml version="1.0" encoding="utf-8"?>
<Properties xmlns="http://schemas.openxmlformats.org/officeDocument/2006/extended-properties" xmlns:vt="http://schemas.openxmlformats.org/officeDocument/2006/docPropsVTypes">
  <Template>Normal</Template>
  <Pages>3</Pages>
  <Words>1402</Words>
  <Characters>7995</Characters>
  <Lines>66</Lines>
  <Paragraphs>18</Paragraphs>
  <TotalTime>0</TotalTime>
  <ScaleCrop>false</ScaleCrop>
  <LinksUpToDate>false</LinksUpToDate>
  <CharactersWithSpaces>9379</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2023-02-17T01:24:00Z</dcterms:created>
  <dc:creator>Ericsson User</dc:creator>
  <cp:lastModifiedBy>unicom</cp:lastModifiedBy>
  <dcterms:modified xsi:type="dcterms:W3CDTF">2023-02-17T06:03:02Z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bb72ced8-8f84-4ba8-bde7-52a7f308c753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2052-11.8.2.11716</vt:lpwstr>
  </property>
  <property fmtid="{D5CDD505-2E9C-101B-9397-08002B2CF9AE}" pid="20" name="ICV">
    <vt:lpwstr>6D0D09204F7C40F18608E6566A42E21B</vt:lpwstr>
  </property>
</Properties>
</file>